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BC44E7" w14:paraId="69CF5638" w14:textId="77777777">
      <w:pPr>
        <w:snapToGrid w:val="0"/>
        <w:jc w:val="center"/>
        <w:rPr>
          <w:rFonts w:ascii="宋体" w:hAnsi="宋体" w:cs="宋体"/>
          <w:sz w:val="24"/>
        </w:rPr>
      </w:pPr>
      <w:bookmarkStart w:id="0" w:name="_GoBack"/>
    </w:p>
    <w:p w:rsidR="00BC44E7" w14:paraId="522B9535" w14:textId="77777777">
      <w:pPr>
        <w:snapToGrid w:val="0"/>
        <w:jc w:val="center"/>
        <w:rPr>
          <w:rFonts w:ascii="宋体" w:hAnsi="宋体" w:cs="宋体"/>
          <w:sz w:val="24"/>
        </w:rPr>
      </w:pPr>
    </w:p>
    <w:p w:rsidR="00BC44E7" w14:paraId="6D07FD8C" w14:textId="77777777">
      <w:pPr>
        <w:snapToGrid w:val="0"/>
        <w:jc w:val="center"/>
        <w:rPr>
          <w:rFonts w:ascii="宋体" w:hAnsi="宋体" w:cs="宋体"/>
          <w:sz w:val="24"/>
        </w:rPr>
      </w:pPr>
    </w:p>
    <w:p w:rsidR="00BC44E7" w14:paraId="6696E841" w14:textId="77777777">
      <w:pPr>
        <w:snapToGrid w:val="0"/>
        <w:jc w:val="center"/>
        <w:rPr>
          <w:rFonts w:ascii="宋体" w:hAnsi="宋体" w:cs="宋体"/>
          <w:sz w:val="24"/>
        </w:rPr>
      </w:pPr>
    </w:p>
    <w:p w:rsidR="00BC44E7" w14:paraId="46590451" w14:textId="77777777">
      <w:pPr>
        <w:snapToGrid w:val="0"/>
        <w:jc w:val="center"/>
        <w:rPr>
          <w:rFonts w:ascii="宋体" w:hAnsi="宋体" w:cs="宋体"/>
          <w:sz w:val="24"/>
        </w:rPr>
      </w:pPr>
    </w:p>
    <w:p w:rsidR="00BC44E7" w14:paraId="6007772F" w14:textId="77777777">
      <w:pPr>
        <w:snapToGrid w:val="0"/>
        <w:jc w:val="center"/>
        <w:rPr>
          <w:rFonts w:ascii="宋体" w:hAnsi="宋体" w:cs="宋体"/>
          <w:sz w:val="24"/>
        </w:rPr>
      </w:pPr>
    </w:p>
    <w:p w:rsidR="00BC44E7" w14:paraId="19742529" w14:textId="77777777">
      <w:pPr>
        <w:snapToGrid w:val="0"/>
        <w:jc w:val="center"/>
        <w:rPr>
          <w:rFonts w:ascii="宋体" w:hAnsi="宋体" w:cs="宋体"/>
          <w:sz w:val="24"/>
        </w:rPr>
      </w:pPr>
    </w:p>
    <w:p w:rsidR="00BC44E7" w14:paraId="17C25CA1" w14:textId="77777777">
      <w:pPr>
        <w:snapToGrid w:val="0"/>
        <w:jc w:val="center"/>
        <w:rPr>
          <w:rFonts w:ascii="宋体" w:hAnsi="宋体" w:cs="宋体"/>
          <w:sz w:val="24"/>
        </w:rPr>
      </w:pPr>
    </w:p>
    <w:p w:rsidR="00BC44E7" w14:paraId="166851F3" w14:textId="77777777">
      <w:pPr>
        <w:snapToGrid w:val="0"/>
        <w:jc w:val="center"/>
        <w:rPr>
          <w:rFonts w:ascii="宋体" w:hAnsi="宋体" w:cs="宋体"/>
          <w:b/>
          <w:sz w:val="44"/>
          <w:lang w:eastAsia="zh-CN"/>
        </w:rPr>
      </w:pPr>
      <w:r>
        <w:rPr>
          <w:rFonts w:ascii="宋体" w:hAnsi="宋体" w:cs="宋体" w:hint="eastAsia"/>
          <w:b/>
          <w:sz w:val="44"/>
          <w:lang w:eastAsia="zh-CN"/>
        </w:rPr>
        <w:t>易方达如意安裕3个月持有期混合型基金中基金（FOF）</w:t>
      </w:r>
    </w:p>
    <w:p w:rsidR="00BC44E7" w14:paraId="3B1C995D" w14:textId="1C1D415A">
      <w:pPr>
        <w:snapToGrid w:val="0"/>
        <w:jc w:val="center"/>
        <w:rPr>
          <w:rFonts w:ascii="宋体" w:hAnsi="宋体" w:cs="宋体"/>
          <w:b/>
          <w:sz w:val="44"/>
          <w:lang w:eastAsia="zh-CN"/>
        </w:rPr>
      </w:pPr>
      <w:r>
        <w:rPr>
          <w:rFonts w:ascii="宋体" w:hAnsi="宋体" w:cs="宋体" w:hint="eastAsia"/>
          <w:b/>
          <w:sz w:val="44"/>
          <w:highlight w:val="white"/>
          <w:lang w:eastAsia="zh-CN"/>
        </w:rPr>
        <w:t>托管协议</w:t>
      </w:r>
    </w:p>
    <w:p w:rsidR="00BC44E7" w14:paraId="53346691" w14:textId="77777777">
      <w:pPr>
        <w:snapToGrid w:val="0"/>
        <w:jc w:val="center"/>
        <w:outlineLvl w:val="0"/>
        <w:rPr>
          <w:rFonts w:ascii="宋体" w:hAnsi="宋体" w:cs="宋体"/>
          <w:sz w:val="24"/>
          <w:lang w:eastAsia="zh-CN"/>
        </w:rPr>
      </w:pPr>
    </w:p>
    <w:p w:rsidR="00BC44E7" w14:paraId="1C4FA417" w14:textId="77777777">
      <w:pPr>
        <w:snapToGrid w:val="0"/>
        <w:jc w:val="center"/>
        <w:outlineLvl w:val="0"/>
        <w:rPr>
          <w:rFonts w:ascii="宋体" w:hAnsi="宋体" w:cs="宋体"/>
          <w:sz w:val="24"/>
          <w:lang w:eastAsia="zh-CN"/>
        </w:rPr>
      </w:pPr>
    </w:p>
    <w:p w:rsidR="00BC44E7" w14:paraId="3656D0E9" w14:textId="77777777">
      <w:pPr>
        <w:snapToGrid w:val="0"/>
        <w:jc w:val="center"/>
        <w:outlineLvl w:val="0"/>
        <w:rPr>
          <w:rFonts w:ascii="宋体" w:hAnsi="宋体" w:cs="宋体"/>
          <w:sz w:val="24"/>
          <w:lang w:eastAsia="zh-CN"/>
        </w:rPr>
      </w:pPr>
    </w:p>
    <w:p w:rsidR="00BC44E7" w14:paraId="3B994A38" w14:textId="77777777">
      <w:pPr>
        <w:snapToGrid w:val="0"/>
        <w:jc w:val="center"/>
        <w:outlineLvl w:val="0"/>
        <w:rPr>
          <w:rFonts w:ascii="宋体" w:hAnsi="宋体" w:cs="宋体"/>
          <w:sz w:val="24"/>
          <w:lang w:eastAsia="zh-CN"/>
        </w:rPr>
      </w:pPr>
    </w:p>
    <w:p w:rsidR="00BC44E7" w14:paraId="02C11C71" w14:textId="77777777">
      <w:pPr>
        <w:snapToGrid w:val="0"/>
        <w:jc w:val="center"/>
        <w:outlineLvl w:val="0"/>
        <w:rPr>
          <w:rFonts w:ascii="宋体" w:hAnsi="宋体" w:cs="宋体"/>
          <w:sz w:val="24"/>
          <w:lang w:eastAsia="zh-CN"/>
        </w:rPr>
      </w:pPr>
    </w:p>
    <w:p w:rsidR="00BC44E7" w14:paraId="456CC336" w14:textId="77777777">
      <w:pPr>
        <w:snapToGrid w:val="0"/>
        <w:jc w:val="center"/>
        <w:rPr>
          <w:rFonts w:ascii="宋体" w:hAnsi="宋体" w:cs="宋体"/>
          <w:sz w:val="24"/>
          <w:lang w:eastAsia="zh-CN"/>
        </w:rPr>
      </w:pPr>
    </w:p>
    <w:p w:rsidR="00BC44E7" w14:paraId="7889D63E" w14:textId="77777777">
      <w:pPr>
        <w:snapToGrid w:val="0"/>
        <w:jc w:val="center"/>
        <w:rPr>
          <w:rFonts w:ascii="宋体" w:hAnsi="宋体" w:cs="宋体"/>
          <w:sz w:val="24"/>
          <w:lang w:eastAsia="zh-CN"/>
        </w:rPr>
      </w:pPr>
    </w:p>
    <w:p w:rsidR="00BC44E7" w14:paraId="5AED0162" w14:textId="77777777">
      <w:pPr>
        <w:snapToGrid w:val="0"/>
        <w:jc w:val="center"/>
        <w:rPr>
          <w:rFonts w:ascii="宋体" w:hAnsi="宋体" w:cs="宋体"/>
          <w:sz w:val="24"/>
          <w:lang w:eastAsia="zh-CN"/>
        </w:rPr>
      </w:pPr>
    </w:p>
    <w:p w:rsidR="00BC44E7" w14:paraId="515AE5FE" w14:textId="77777777">
      <w:pPr>
        <w:snapToGrid w:val="0"/>
        <w:jc w:val="center"/>
        <w:outlineLvl w:val="0"/>
        <w:rPr>
          <w:rFonts w:ascii="宋体" w:hAnsi="宋体" w:cs="宋体"/>
          <w:sz w:val="24"/>
          <w:lang w:eastAsia="zh-CN"/>
        </w:rPr>
      </w:pPr>
    </w:p>
    <w:p w:rsidR="00BC44E7" w14:paraId="27360F80" w14:textId="77777777">
      <w:pPr>
        <w:snapToGrid w:val="0"/>
        <w:jc w:val="center"/>
        <w:outlineLvl w:val="0"/>
        <w:rPr>
          <w:rFonts w:ascii="宋体" w:hAnsi="宋体" w:cs="宋体"/>
          <w:sz w:val="24"/>
          <w:lang w:eastAsia="zh-CN"/>
        </w:rPr>
      </w:pPr>
    </w:p>
    <w:p w:rsidR="00BC44E7" w14:paraId="5FFD6D40" w14:textId="77777777">
      <w:pPr>
        <w:snapToGrid w:val="0"/>
        <w:jc w:val="center"/>
        <w:outlineLvl w:val="0"/>
        <w:rPr>
          <w:rFonts w:ascii="宋体" w:hAnsi="宋体" w:cs="宋体"/>
          <w:sz w:val="24"/>
          <w:lang w:eastAsia="zh-CN"/>
        </w:rPr>
      </w:pPr>
    </w:p>
    <w:p w:rsidR="00BC44E7" w14:paraId="18552298" w14:textId="77777777">
      <w:pPr>
        <w:snapToGrid w:val="0"/>
        <w:jc w:val="center"/>
        <w:outlineLvl w:val="0"/>
        <w:rPr>
          <w:rFonts w:ascii="宋体" w:hAnsi="宋体" w:cs="宋体"/>
          <w:sz w:val="24"/>
          <w:lang w:eastAsia="zh-CN"/>
        </w:rPr>
      </w:pPr>
    </w:p>
    <w:p w:rsidR="00BC44E7" w14:paraId="151CDBBE" w14:textId="77777777">
      <w:pPr>
        <w:snapToGrid w:val="0"/>
        <w:jc w:val="center"/>
        <w:outlineLvl w:val="0"/>
        <w:rPr>
          <w:rFonts w:ascii="宋体" w:hAnsi="宋体" w:cs="宋体"/>
          <w:sz w:val="24"/>
          <w:lang w:eastAsia="zh-CN"/>
        </w:rPr>
      </w:pPr>
    </w:p>
    <w:p w:rsidR="00BC44E7" w14:paraId="0F26B62F" w14:textId="77777777">
      <w:pPr>
        <w:snapToGrid w:val="0"/>
        <w:jc w:val="center"/>
        <w:outlineLvl w:val="0"/>
        <w:rPr>
          <w:rFonts w:ascii="宋体" w:hAnsi="宋体" w:cs="宋体"/>
          <w:sz w:val="24"/>
          <w:lang w:eastAsia="zh-CN"/>
        </w:rPr>
      </w:pPr>
    </w:p>
    <w:p w:rsidR="00BC44E7" w14:paraId="5B27D85A" w14:textId="77777777">
      <w:pPr>
        <w:snapToGrid w:val="0"/>
        <w:jc w:val="center"/>
        <w:outlineLvl w:val="0"/>
        <w:rPr>
          <w:rFonts w:ascii="宋体" w:hAnsi="宋体" w:cs="宋体"/>
          <w:sz w:val="24"/>
          <w:lang w:eastAsia="zh-CN"/>
        </w:rPr>
      </w:pPr>
    </w:p>
    <w:p w:rsidR="00BC44E7" w14:paraId="22A3E624" w14:textId="77777777">
      <w:pPr>
        <w:snapToGrid w:val="0"/>
        <w:ind w:firstLine="1961"/>
        <w:outlineLvl w:val="0"/>
        <w:rPr>
          <w:rFonts w:ascii="宋体" w:hAnsi="宋体" w:cs="宋体"/>
          <w:b/>
          <w:bCs/>
          <w:sz w:val="28"/>
          <w:lang w:eastAsia="zh-CN"/>
        </w:rPr>
      </w:pPr>
      <w:r>
        <w:rPr>
          <w:rFonts w:ascii="宋体" w:hAnsi="宋体" w:cs="宋体" w:hint="eastAsia"/>
          <w:b/>
          <w:bCs/>
          <w:sz w:val="28"/>
          <w:highlight w:val="white"/>
          <w:lang w:eastAsia="zh-CN"/>
        </w:rPr>
        <w:t>基金管理人：易方达基金管理有限公司</w:t>
      </w:r>
    </w:p>
    <w:p w:rsidR="00BC44E7" w14:paraId="04C0A6B5" w14:textId="77777777">
      <w:pPr>
        <w:tabs>
          <w:tab w:val="center" w:pos="4252"/>
          <w:tab w:val="left" w:pos="7530"/>
        </w:tabs>
        <w:snapToGrid w:val="0"/>
        <w:jc w:val="left"/>
        <w:outlineLvl w:val="0"/>
        <w:rPr>
          <w:rFonts w:ascii="宋体" w:hAnsi="宋体" w:cs="宋体"/>
          <w:b/>
          <w:bCs/>
          <w:sz w:val="28"/>
          <w:lang w:eastAsia="zh-CN"/>
        </w:rPr>
      </w:pPr>
      <w:r>
        <w:rPr>
          <w:rFonts w:ascii="宋体" w:hAnsi="宋体" w:cs="宋体" w:hint="eastAsia"/>
          <w:b/>
          <w:bCs/>
          <w:sz w:val="28"/>
          <w:highlight w:val="white"/>
          <w:lang w:eastAsia="zh-CN"/>
        </w:rPr>
        <w:tab/>
        <w:t>基金托管人：中国建设银行股份有限公司</w:t>
      </w:r>
      <w:r>
        <w:rPr>
          <w:rFonts w:ascii="宋体" w:hAnsi="宋体" w:cs="宋体" w:hint="eastAsia"/>
          <w:b/>
          <w:bCs/>
          <w:sz w:val="28"/>
          <w:highlight w:val="white"/>
          <w:lang w:eastAsia="zh-CN"/>
        </w:rPr>
        <w:tab/>
      </w:r>
    </w:p>
    <w:p w:rsidR="00BC44E7" w14:paraId="6DC826FF" w14:textId="77777777">
      <w:pPr>
        <w:snapToGrid w:val="0"/>
        <w:jc w:val="center"/>
        <w:outlineLvl w:val="0"/>
        <w:rPr>
          <w:rFonts w:ascii="宋体" w:hAnsi="宋体" w:cs="宋体"/>
          <w:sz w:val="24"/>
          <w:lang w:eastAsia="zh-CN"/>
        </w:rPr>
      </w:pPr>
    </w:p>
    <w:p w:rsidR="00BC44E7" w14:paraId="328CFC26" w14:textId="0D5FD147">
      <w:pPr>
        <w:jc w:val="center"/>
        <w:rPr>
          <w:rFonts w:ascii="宋体" w:hAnsi="宋体" w:cs="宋体"/>
        </w:rPr>
      </w:pPr>
      <w:r>
        <w:rPr>
          <w:rFonts w:ascii="宋体" w:hAnsi="宋体" w:cs="宋体"/>
          <w:color w:val="000000"/>
          <w:sz w:val="28"/>
          <w:highlight w:val="white"/>
        </w:rPr>
        <w:t>二〇二</w:t>
      </w:r>
      <w:r w:rsidR="00781A3B">
        <w:rPr>
          <w:rFonts w:ascii="宋体" w:hAnsi="宋体" w:cs="宋体" w:hint="eastAsia"/>
          <w:color w:val="000000"/>
          <w:sz w:val="28"/>
          <w:highlight w:val="white"/>
          <w:lang w:eastAsia="zh-CN"/>
        </w:rPr>
        <w:t>六</w:t>
      </w:r>
      <w:r>
        <w:rPr>
          <w:rFonts w:ascii="宋体" w:hAnsi="宋体" w:cs="宋体"/>
          <w:color w:val="000000"/>
          <w:sz w:val="28"/>
          <w:highlight w:val="white"/>
        </w:rPr>
        <w:t>年</w:t>
      </w:r>
      <w:r w:rsidR="00781A3B">
        <w:rPr>
          <w:rFonts w:ascii="宋体" w:hAnsi="宋体" w:cs="宋体"/>
          <w:color w:val="000000"/>
          <w:sz w:val="28"/>
          <w:highlight w:val="white"/>
        </w:rPr>
        <w:t>四</w:t>
      </w:r>
      <w:r>
        <w:rPr>
          <w:rFonts w:ascii="宋体" w:hAnsi="宋体" w:cs="宋体"/>
          <w:color w:val="000000"/>
          <w:sz w:val="28"/>
          <w:highlight w:val="white"/>
        </w:rPr>
        <w:t>月</w:t>
      </w:r>
    </w:p>
    <w:p w:rsidR="00BC44E7" w14:paraId="65B20CDA" w14:textId="77777777">
      <w:pPr>
        <w:tabs>
          <w:tab w:val="left" w:pos="6120"/>
        </w:tabs>
        <w:snapToGrid w:val="0"/>
        <w:jc w:val="center"/>
        <w:outlineLvl w:val="0"/>
        <w:rPr>
          <w:rFonts w:ascii="宋体" w:hAnsi="宋体" w:cs="宋体"/>
          <w:b/>
          <w:bCs/>
          <w:sz w:val="28"/>
        </w:rPr>
      </w:pPr>
    </w:p>
    <w:p w:rsidR="00BC44E7" w14:paraId="7AA3F93C" w14:textId="77777777">
      <w:pPr>
        <w:snapToGrid w:val="0"/>
        <w:outlineLvl w:val="0"/>
        <w:rPr>
          <w:rFonts w:ascii="宋体" w:hAnsi="宋体" w:cs="宋体"/>
          <w:sz w:val="24"/>
        </w:rPr>
      </w:pPr>
      <w:r>
        <w:rPr>
          <w:rFonts w:ascii="宋体" w:hAnsi="宋体" w:cs="宋体" w:hint="eastAsia"/>
          <w:sz w:val="24"/>
          <w:highlight w:val="white"/>
        </w:rPr>
        <w:t xml:space="preserve">                          </w:t>
      </w:r>
    </w:p>
    <w:p w:rsidR="00BC44E7" w14:paraId="7F9D5E2A" w14:textId="77777777">
      <w:pPr>
        <w:snapToGrid w:val="0"/>
        <w:jc w:val="center"/>
        <w:rPr>
          <w:rFonts w:ascii="宋体" w:hAnsi="宋体" w:cs="宋体"/>
          <w:bCs/>
          <w:sz w:val="24"/>
        </w:rPr>
      </w:pPr>
    </w:p>
    <w:p w:rsidR="00BC44E7" w14:paraId="53327CB3" w14:textId="77777777">
      <w:pPr>
        <w:widowControl/>
        <w:jc w:val="left"/>
        <w:rPr>
          <w:rFonts w:ascii="宋体" w:hAnsi="宋体" w:cs="宋体"/>
          <w:sz w:val="24"/>
        </w:rPr>
        <w:sectPr>
          <w:footerReference w:type="default" r:id="rId5"/>
          <w:pgSz w:w="11906" w:h="16838"/>
          <w:pgMar w:top="1418" w:right="1701" w:bottom="1418" w:left="1701" w:header="851" w:footer="992" w:gutter="0"/>
          <w:cols w:space="720"/>
          <w:docGrid w:type="lines" w:linePitch="312"/>
        </w:sectPr>
      </w:pPr>
    </w:p>
    <w:p w:rsidR="00BC44E7" w14:paraId="52E6BA37" w14:textId="77777777">
      <w:pPr>
        <w:jc w:val="center"/>
        <w:rPr>
          <w:rFonts w:ascii="宋体" w:hAnsi="宋体" w:cs="宋体"/>
          <w:b/>
          <w:bCs/>
          <w:sz w:val="30"/>
        </w:rPr>
      </w:pPr>
      <w:r>
        <w:rPr>
          <w:rFonts w:ascii="宋体" w:hAnsi="宋体" w:cs="宋体" w:hint="eastAsia"/>
          <w:b/>
          <w:bCs/>
          <w:sz w:val="30"/>
          <w:highlight w:val="white"/>
        </w:rPr>
        <w:t>目    录</w:t>
      </w:r>
    </w:p>
    <w:p w:rsidR="00BC44E7" w14:paraId="7882ABFD" w14:textId="77777777">
      <w:pPr>
        <w:pStyle w:val="TOC2"/>
        <w:rPr>
          <w:rFonts w:ascii="宋体" w:hAnsi="宋体" w:cs="宋体"/>
          <w:noProof/>
          <w:sz w:val="22"/>
          <w:szCs w:val="22"/>
        </w:rPr>
      </w:pPr>
      <w:r>
        <w:rPr>
          <w:rFonts w:ascii="宋体" w:hAnsi="宋体" w:cs="宋体"/>
        </w:rPr>
        <w:fldChar w:fldCharType="begin"/>
      </w:r>
      <w:r>
        <w:rPr>
          <w:rFonts w:ascii="宋体" w:hAnsi="宋体" w:cs="宋体"/>
          <w:highlight w:val="white"/>
        </w:rPr>
        <w:instrText xml:space="preserve"> TOC \o "1-2" \h \z </w:instrText>
      </w:r>
      <w:r>
        <w:rPr>
          <w:rFonts w:ascii="宋体" w:hAnsi="宋体" w:cs="宋体"/>
        </w:rPr>
        <w:fldChar w:fldCharType="separate"/>
      </w:r>
      <w:hyperlink w:anchor="_Toc68875903" w:tooltip="Current Document" w:history="1">
        <w:r>
          <w:rPr>
            <w:rStyle w:val="Hyperlink"/>
            <w:rFonts w:ascii="宋体" w:hAnsi="宋体" w:cs="宋体" w:hint="eastAsia"/>
            <w:noProof/>
            <w:highlight w:val="white"/>
          </w:rPr>
          <w:t>一、基金托管协议当事人</w:t>
        </w:r>
        <w:r>
          <w:rPr>
            <w:rFonts w:ascii="宋体" w:hAnsi="宋体" w:cs="宋体"/>
            <w:noProof/>
            <w:highlight w:val="white"/>
          </w:rPr>
          <w:tab/>
        </w:r>
        <w:r>
          <w:rPr>
            <w:rFonts w:ascii="宋体" w:hAnsi="宋体" w:cs="宋体"/>
            <w:noProof/>
          </w:rPr>
          <w:fldChar w:fldCharType="begin"/>
        </w:r>
        <w:r>
          <w:rPr>
            <w:rFonts w:ascii="宋体" w:hAnsi="宋体" w:cs="宋体"/>
            <w:noProof/>
            <w:highlight w:val="white"/>
          </w:rPr>
          <w:instrText xml:space="preserve"> PAGEREF _Toc68875903 \h </w:instrText>
        </w:r>
        <w:r>
          <w:rPr>
            <w:rFonts w:ascii="宋体" w:hAnsi="宋体" w:cs="宋体"/>
            <w:noProof/>
          </w:rPr>
          <w:fldChar w:fldCharType="separate"/>
        </w:r>
        <w:r w:rsidR="00781A3B">
          <w:rPr>
            <w:rFonts w:ascii="宋体" w:hAnsi="宋体" w:cs="宋体"/>
            <w:noProof/>
            <w:highlight w:val="white"/>
          </w:rPr>
          <w:t>3</w:t>
        </w:r>
        <w:r>
          <w:rPr>
            <w:rFonts w:ascii="宋体" w:hAnsi="宋体" w:cs="宋体"/>
            <w:noProof/>
          </w:rPr>
          <w:fldChar w:fldCharType="end"/>
        </w:r>
      </w:hyperlink>
    </w:p>
    <w:p w:rsidR="00BC44E7" w14:paraId="480D0B36" w14:textId="77777777">
      <w:pPr>
        <w:pStyle w:val="TOC2"/>
        <w:rPr>
          <w:rFonts w:ascii="宋体" w:hAnsi="宋体" w:cs="宋体"/>
          <w:noProof/>
          <w:sz w:val="22"/>
          <w:szCs w:val="22"/>
        </w:rPr>
      </w:pPr>
      <w:hyperlink w:anchor="_Toc68875904" w:tooltip="Current Document" w:history="1">
        <w:r w:rsidR="00901FB3">
          <w:rPr>
            <w:rStyle w:val="Hyperlink"/>
            <w:rFonts w:ascii="宋体" w:hAnsi="宋体" w:cs="宋体" w:hint="eastAsia"/>
            <w:noProof/>
            <w:highlight w:val="white"/>
          </w:rPr>
          <w:t>二、基金托管协议的依据、目的和原则</w:t>
        </w:r>
        <w:r w:rsidR="00901FB3">
          <w:rPr>
            <w:rFonts w:ascii="宋体" w:hAnsi="宋体" w:cs="宋体"/>
            <w:noProof/>
            <w:highlight w:val="white"/>
          </w:rPr>
          <w:tab/>
        </w:r>
        <w:r w:rsidR="00901FB3">
          <w:rPr>
            <w:rFonts w:ascii="宋体" w:hAnsi="宋体" w:cs="宋体"/>
            <w:noProof/>
          </w:rPr>
          <w:fldChar w:fldCharType="begin"/>
        </w:r>
        <w:r w:rsidR="00901FB3">
          <w:rPr>
            <w:rFonts w:ascii="宋体" w:hAnsi="宋体" w:cs="宋体"/>
            <w:noProof/>
            <w:highlight w:val="white"/>
          </w:rPr>
          <w:instrText xml:space="preserve"> PAGEREF _Toc68875904 \h </w:instrText>
        </w:r>
        <w:r w:rsidR="00901FB3">
          <w:rPr>
            <w:rFonts w:ascii="宋体" w:hAnsi="宋体" w:cs="宋体"/>
            <w:noProof/>
          </w:rPr>
          <w:fldChar w:fldCharType="separate"/>
        </w:r>
        <w:r w:rsidR="00781A3B">
          <w:rPr>
            <w:rFonts w:ascii="宋体" w:hAnsi="宋体" w:cs="宋体"/>
            <w:noProof/>
            <w:highlight w:val="white"/>
          </w:rPr>
          <w:t>4</w:t>
        </w:r>
        <w:r w:rsidR="00901FB3">
          <w:rPr>
            <w:rFonts w:ascii="宋体" w:hAnsi="宋体" w:cs="宋体"/>
            <w:noProof/>
          </w:rPr>
          <w:fldChar w:fldCharType="end"/>
        </w:r>
      </w:hyperlink>
    </w:p>
    <w:p w:rsidR="00BC44E7" w14:paraId="3773EBA9" w14:textId="77777777">
      <w:pPr>
        <w:pStyle w:val="TOC2"/>
        <w:rPr>
          <w:rFonts w:ascii="宋体" w:hAnsi="宋体" w:cs="宋体"/>
          <w:noProof/>
          <w:sz w:val="22"/>
          <w:szCs w:val="22"/>
        </w:rPr>
      </w:pPr>
      <w:hyperlink w:anchor="_Toc68875905" w:tooltip="Current Document" w:history="1">
        <w:r w:rsidR="00901FB3">
          <w:rPr>
            <w:rStyle w:val="Hyperlink"/>
            <w:rFonts w:ascii="宋体" w:hAnsi="宋体" w:cs="宋体" w:hint="eastAsia"/>
            <w:noProof/>
            <w:highlight w:val="white"/>
          </w:rPr>
          <w:t>三、基金托管人对基金管理人的业务监督和核查</w:t>
        </w:r>
        <w:r w:rsidR="00901FB3">
          <w:rPr>
            <w:rFonts w:ascii="宋体" w:hAnsi="宋体" w:cs="宋体"/>
            <w:noProof/>
            <w:highlight w:val="white"/>
          </w:rPr>
          <w:tab/>
        </w:r>
        <w:r w:rsidR="00901FB3">
          <w:rPr>
            <w:rFonts w:ascii="宋体" w:hAnsi="宋体" w:cs="宋体"/>
            <w:noProof/>
          </w:rPr>
          <w:fldChar w:fldCharType="begin"/>
        </w:r>
        <w:r w:rsidR="00901FB3">
          <w:rPr>
            <w:rFonts w:ascii="宋体" w:hAnsi="宋体" w:cs="宋体"/>
            <w:noProof/>
            <w:highlight w:val="white"/>
          </w:rPr>
          <w:instrText xml:space="preserve"> PAGEREF _Toc68875905 \h </w:instrText>
        </w:r>
        <w:r w:rsidR="00901FB3">
          <w:rPr>
            <w:rFonts w:ascii="宋体" w:hAnsi="宋体" w:cs="宋体"/>
            <w:noProof/>
          </w:rPr>
          <w:fldChar w:fldCharType="separate"/>
        </w:r>
        <w:r w:rsidR="00781A3B">
          <w:rPr>
            <w:rFonts w:ascii="宋体" w:hAnsi="宋体" w:cs="宋体"/>
            <w:noProof/>
            <w:highlight w:val="white"/>
          </w:rPr>
          <w:t>4</w:t>
        </w:r>
        <w:r w:rsidR="00901FB3">
          <w:rPr>
            <w:rFonts w:ascii="宋体" w:hAnsi="宋体" w:cs="宋体"/>
            <w:noProof/>
          </w:rPr>
          <w:fldChar w:fldCharType="end"/>
        </w:r>
      </w:hyperlink>
    </w:p>
    <w:p w:rsidR="00BC44E7" w14:paraId="75249273" w14:textId="77777777">
      <w:pPr>
        <w:pStyle w:val="TOC2"/>
        <w:rPr>
          <w:rFonts w:ascii="宋体" w:hAnsi="宋体" w:cs="宋体"/>
          <w:noProof/>
          <w:sz w:val="22"/>
          <w:szCs w:val="22"/>
        </w:rPr>
      </w:pPr>
      <w:hyperlink w:anchor="_Toc68875906" w:tooltip="Current Document" w:history="1">
        <w:r w:rsidR="00901FB3">
          <w:rPr>
            <w:rStyle w:val="Hyperlink"/>
            <w:rFonts w:ascii="宋体" w:hAnsi="宋体" w:cs="宋体" w:hint="eastAsia"/>
            <w:noProof/>
            <w:highlight w:val="white"/>
          </w:rPr>
          <w:t>四、基金管理人对基金托管人的业务核查</w:t>
        </w:r>
        <w:r w:rsidR="00901FB3">
          <w:rPr>
            <w:rFonts w:ascii="宋体" w:hAnsi="宋体" w:cs="宋体"/>
            <w:noProof/>
            <w:highlight w:val="white"/>
          </w:rPr>
          <w:tab/>
        </w:r>
        <w:r w:rsidR="00901FB3">
          <w:rPr>
            <w:rFonts w:ascii="宋体" w:hAnsi="宋体" w:cs="宋体"/>
            <w:noProof/>
          </w:rPr>
          <w:fldChar w:fldCharType="begin"/>
        </w:r>
        <w:r w:rsidR="00901FB3">
          <w:rPr>
            <w:rFonts w:ascii="宋体" w:hAnsi="宋体" w:cs="宋体"/>
            <w:noProof/>
            <w:highlight w:val="white"/>
          </w:rPr>
          <w:instrText xml:space="preserve"> PAGEREF _Toc68875906 \h </w:instrText>
        </w:r>
        <w:r w:rsidR="00901FB3">
          <w:rPr>
            <w:rFonts w:ascii="宋体" w:hAnsi="宋体" w:cs="宋体"/>
            <w:noProof/>
          </w:rPr>
          <w:fldChar w:fldCharType="separate"/>
        </w:r>
        <w:r w:rsidR="00781A3B">
          <w:rPr>
            <w:rFonts w:ascii="宋体" w:hAnsi="宋体" w:cs="宋体"/>
            <w:noProof/>
            <w:highlight w:val="white"/>
          </w:rPr>
          <w:t>8</w:t>
        </w:r>
        <w:r w:rsidR="00901FB3">
          <w:rPr>
            <w:rFonts w:ascii="宋体" w:hAnsi="宋体" w:cs="宋体"/>
            <w:noProof/>
          </w:rPr>
          <w:fldChar w:fldCharType="end"/>
        </w:r>
      </w:hyperlink>
    </w:p>
    <w:p w:rsidR="00BC44E7" w14:paraId="171340BD" w14:textId="77777777">
      <w:pPr>
        <w:pStyle w:val="TOC2"/>
        <w:rPr>
          <w:rFonts w:ascii="宋体" w:hAnsi="宋体" w:cs="宋体"/>
          <w:noProof/>
          <w:sz w:val="22"/>
          <w:szCs w:val="22"/>
        </w:rPr>
      </w:pPr>
      <w:hyperlink w:anchor="_Toc68875907" w:tooltip="Current Document" w:history="1">
        <w:r w:rsidR="00901FB3">
          <w:rPr>
            <w:rStyle w:val="Hyperlink"/>
            <w:rFonts w:ascii="宋体" w:hAnsi="宋体" w:cs="宋体" w:hint="eastAsia"/>
            <w:noProof/>
            <w:highlight w:val="white"/>
          </w:rPr>
          <w:t>五、基金财产的保管</w:t>
        </w:r>
        <w:r w:rsidR="00901FB3">
          <w:rPr>
            <w:rFonts w:ascii="宋体" w:hAnsi="宋体" w:cs="宋体"/>
            <w:noProof/>
            <w:highlight w:val="white"/>
          </w:rPr>
          <w:tab/>
        </w:r>
        <w:r w:rsidR="00901FB3">
          <w:rPr>
            <w:rFonts w:ascii="宋体" w:hAnsi="宋体" w:cs="宋体"/>
            <w:noProof/>
          </w:rPr>
          <w:fldChar w:fldCharType="begin"/>
        </w:r>
        <w:r w:rsidR="00901FB3">
          <w:rPr>
            <w:rFonts w:ascii="宋体" w:hAnsi="宋体" w:cs="宋体"/>
            <w:noProof/>
            <w:highlight w:val="white"/>
          </w:rPr>
          <w:instrText xml:space="preserve"> PAGEREF _Toc68875907 \h </w:instrText>
        </w:r>
        <w:r w:rsidR="00901FB3">
          <w:rPr>
            <w:rFonts w:ascii="宋体" w:hAnsi="宋体" w:cs="宋体"/>
            <w:noProof/>
          </w:rPr>
          <w:fldChar w:fldCharType="separate"/>
        </w:r>
        <w:r>
          <w:rPr>
            <w:rFonts w:ascii="宋体" w:hAnsi="宋体" w:cs="宋体"/>
            <w:noProof/>
            <w:highlight w:val="white"/>
          </w:rPr>
          <w:t>9</w:t>
        </w:r>
        <w:r w:rsidR="00901FB3">
          <w:rPr>
            <w:rFonts w:ascii="宋体" w:hAnsi="宋体" w:cs="宋体"/>
            <w:noProof/>
          </w:rPr>
          <w:fldChar w:fldCharType="end"/>
        </w:r>
      </w:hyperlink>
    </w:p>
    <w:p w:rsidR="00BC44E7" w14:paraId="58A748FB" w14:textId="77777777">
      <w:pPr>
        <w:pStyle w:val="TOC2"/>
        <w:rPr>
          <w:rFonts w:ascii="宋体" w:hAnsi="宋体" w:cs="宋体"/>
          <w:noProof/>
          <w:sz w:val="22"/>
          <w:szCs w:val="22"/>
        </w:rPr>
      </w:pPr>
      <w:hyperlink w:anchor="_Toc68875908" w:tooltip="Current Document" w:history="1">
        <w:r w:rsidR="00901FB3">
          <w:rPr>
            <w:rStyle w:val="Hyperlink"/>
            <w:rFonts w:ascii="宋体" w:hAnsi="宋体" w:cs="宋体" w:hint="eastAsia"/>
            <w:noProof/>
            <w:highlight w:val="white"/>
          </w:rPr>
          <w:t>六、指令的发送、确认及执行</w:t>
        </w:r>
        <w:r w:rsidR="00901FB3">
          <w:rPr>
            <w:rFonts w:ascii="宋体" w:hAnsi="宋体" w:cs="宋体"/>
            <w:noProof/>
            <w:highlight w:val="white"/>
          </w:rPr>
          <w:tab/>
        </w:r>
        <w:r w:rsidR="00901FB3">
          <w:rPr>
            <w:rFonts w:ascii="宋体" w:hAnsi="宋体" w:cs="宋体"/>
            <w:noProof/>
          </w:rPr>
          <w:fldChar w:fldCharType="begin"/>
        </w:r>
        <w:r w:rsidR="00901FB3">
          <w:rPr>
            <w:rFonts w:ascii="宋体" w:hAnsi="宋体" w:cs="宋体"/>
            <w:noProof/>
            <w:highlight w:val="white"/>
          </w:rPr>
          <w:instrText xml:space="preserve"> PAGEREF _Toc68875908 \h </w:instrText>
        </w:r>
        <w:r w:rsidR="00901FB3">
          <w:rPr>
            <w:rFonts w:ascii="宋体" w:hAnsi="宋体" w:cs="宋体"/>
            <w:noProof/>
          </w:rPr>
          <w:fldChar w:fldCharType="separate"/>
        </w:r>
        <w:r w:rsidR="00781A3B">
          <w:rPr>
            <w:rFonts w:ascii="宋体" w:hAnsi="宋体" w:cs="宋体"/>
            <w:noProof/>
            <w:highlight w:val="white"/>
          </w:rPr>
          <w:t>11</w:t>
        </w:r>
        <w:r w:rsidR="00901FB3">
          <w:rPr>
            <w:rFonts w:ascii="宋体" w:hAnsi="宋体" w:cs="宋体"/>
            <w:noProof/>
          </w:rPr>
          <w:fldChar w:fldCharType="end"/>
        </w:r>
      </w:hyperlink>
    </w:p>
    <w:p w:rsidR="00BC44E7" w14:paraId="24A7B979" w14:textId="77777777">
      <w:pPr>
        <w:pStyle w:val="TOC2"/>
        <w:rPr>
          <w:rFonts w:ascii="宋体" w:hAnsi="宋体" w:cs="宋体"/>
          <w:noProof/>
          <w:sz w:val="22"/>
          <w:szCs w:val="22"/>
        </w:rPr>
      </w:pPr>
      <w:hyperlink w:anchor="_Toc68875909" w:tooltip="Current Document" w:history="1">
        <w:r w:rsidR="00901FB3">
          <w:rPr>
            <w:rStyle w:val="Hyperlink"/>
            <w:rFonts w:ascii="宋体" w:hAnsi="宋体" w:cs="宋体" w:hint="eastAsia"/>
            <w:noProof/>
            <w:highlight w:val="white"/>
          </w:rPr>
          <w:t>七、交易及清算交收安排</w:t>
        </w:r>
        <w:r w:rsidR="00901FB3">
          <w:rPr>
            <w:rFonts w:ascii="宋体" w:hAnsi="宋体" w:cs="宋体"/>
            <w:noProof/>
            <w:highlight w:val="white"/>
          </w:rPr>
          <w:tab/>
        </w:r>
        <w:r w:rsidR="00901FB3">
          <w:rPr>
            <w:rFonts w:ascii="宋体" w:hAnsi="宋体" w:cs="宋体"/>
            <w:noProof/>
          </w:rPr>
          <w:fldChar w:fldCharType="begin"/>
        </w:r>
        <w:r w:rsidR="00901FB3">
          <w:rPr>
            <w:rFonts w:ascii="宋体" w:hAnsi="宋体" w:cs="宋体"/>
            <w:noProof/>
            <w:highlight w:val="white"/>
          </w:rPr>
          <w:instrText xml:space="preserve"> PAGEREF _Toc68875909 \h </w:instrText>
        </w:r>
        <w:r w:rsidR="00901FB3">
          <w:rPr>
            <w:rFonts w:ascii="宋体" w:hAnsi="宋体" w:cs="宋体"/>
            <w:noProof/>
          </w:rPr>
          <w:fldChar w:fldCharType="separate"/>
        </w:r>
        <w:r w:rsidR="00781A3B">
          <w:rPr>
            <w:rFonts w:ascii="宋体" w:hAnsi="宋体" w:cs="宋体"/>
            <w:noProof/>
            <w:highlight w:val="white"/>
          </w:rPr>
          <w:t>13</w:t>
        </w:r>
        <w:r w:rsidR="00901FB3">
          <w:rPr>
            <w:rFonts w:ascii="宋体" w:hAnsi="宋体" w:cs="宋体"/>
            <w:noProof/>
          </w:rPr>
          <w:fldChar w:fldCharType="end"/>
        </w:r>
      </w:hyperlink>
    </w:p>
    <w:p w:rsidR="00BC44E7" w14:paraId="51832D33" w14:textId="77777777">
      <w:pPr>
        <w:pStyle w:val="TOC2"/>
        <w:rPr>
          <w:rFonts w:ascii="宋体" w:hAnsi="宋体" w:cs="宋体"/>
          <w:noProof/>
          <w:sz w:val="22"/>
          <w:szCs w:val="22"/>
        </w:rPr>
      </w:pPr>
      <w:hyperlink w:anchor="_Toc68875910" w:tooltip="Current Document" w:history="1">
        <w:r w:rsidR="00901FB3">
          <w:rPr>
            <w:rStyle w:val="Hyperlink"/>
            <w:rFonts w:ascii="宋体" w:hAnsi="宋体" w:cs="宋体" w:hint="eastAsia"/>
            <w:noProof/>
            <w:highlight w:val="white"/>
          </w:rPr>
          <w:t>八、基金资产净值计算和会计核算</w:t>
        </w:r>
        <w:r w:rsidR="00901FB3">
          <w:rPr>
            <w:rFonts w:ascii="宋体" w:hAnsi="宋体" w:cs="宋体"/>
            <w:noProof/>
            <w:highlight w:val="white"/>
          </w:rPr>
          <w:tab/>
        </w:r>
        <w:r w:rsidR="00901FB3">
          <w:rPr>
            <w:rFonts w:ascii="宋体" w:hAnsi="宋体" w:cs="宋体"/>
            <w:noProof/>
          </w:rPr>
          <w:fldChar w:fldCharType="begin"/>
        </w:r>
        <w:r w:rsidR="00901FB3">
          <w:rPr>
            <w:rFonts w:ascii="宋体" w:hAnsi="宋体" w:cs="宋体"/>
            <w:noProof/>
            <w:highlight w:val="white"/>
          </w:rPr>
          <w:instrText xml:space="preserve"> PAGEREF _Toc68875910 \h </w:instrText>
        </w:r>
        <w:r w:rsidR="00901FB3">
          <w:rPr>
            <w:rFonts w:ascii="宋体" w:hAnsi="宋体" w:cs="宋体"/>
            <w:noProof/>
          </w:rPr>
          <w:fldChar w:fldCharType="separate"/>
        </w:r>
        <w:r w:rsidR="00781A3B">
          <w:rPr>
            <w:rFonts w:ascii="宋体" w:hAnsi="宋体" w:cs="宋体"/>
            <w:noProof/>
            <w:highlight w:val="white"/>
          </w:rPr>
          <w:t>17</w:t>
        </w:r>
        <w:r w:rsidR="00901FB3">
          <w:rPr>
            <w:rFonts w:ascii="宋体" w:hAnsi="宋体" w:cs="宋体"/>
            <w:noProof/>
          </w:rPr>
          <w:fldChar w:fldCharType="end"/>
        </w:r>
      </w:hyperlink>
    </w:p>
    <w:p w:rsidR="00BC44E7" w14:paraId="3069D9FD" w14:textId="77777777">
      <w:pPr>
        <w:pStyle w:val="TOC2"/>
        <w:rPr>
          <w:rFonts w:ascii="宋体" w:hAnsi="宋体" w:cs="宋体"/>
          <w:noProof/>
          <w:sz w:val="22"/>
          <w:szCs w:val="22"/>
        </w:rPr>
      </w:pPr>
      <w:hyperlink w:anchor="_Toc68875911" w:tooltip="Current Document" w:history="1">
        <w:r w:rsidR="00901FB3">
          <w:rPr>
            <w:rStyle w:val="Hyperlink"/>
            <w:rFonts w:ascii="宋体" w:hAnsi="宋体" w:cs="宋体" w:hint="eastAsia"/>
            <w:noProof/>
            <w:highlight w:val="white"/>
          </w:rPr>
          <w:t>九、基金收益分配</w:t>
        </w:r>
        <w:r w:rsidR="00901FB3">
          <w:rPr>
            <w:rFonts w:ascii="宋体" w:hAnsi="宋体" w:cs="宋体"/>
            <w:noProof/>
            <w:highlight w:val="white"/>
          </w:rPr>
          <w:tab/>
        </w:r>
        <w:r w:rsidR="00901FB3">
          <w:rPr>
            <w:rFonts w:ascii="宋体" w:hAnsi="宋体" w:cs="宋体"/>
            <w:noProof/>
          </w:rPr>
          <w:fldChar w:fldCharType="begin"/>
        </w:r>
        <w:r w:rsidR="00901FB3">
          <w:rPr>
            <w:rFonts w:ascii="宋体" w:hAnsi="宋体" w:cs="宋体"/>
            <w:noProof/>
            <w:highlight w:val="white"/>
          </w:rPr>
          <w:instrText xml:space="preserve"> PAGEREF _Toc68875911 \h </w:instrText>
        </w:r>
        <w:r w:rsidR="00901FB3">
          <w:rPr>
            <w:rFonts w:ascii="宋体" w:hAnsi="宋体" w:cs="宋体"/>
            <w:noProof/>
          </w:rPr>
          <w:fldChar w:fldCharType="separate"/>
        </w:r>
        <w:r>
          <w:rPr>
            <w:rFonts w:ascii="宋体" w:hAnsi="宋体" w:cs="宋体"/>
            <w:noProof/>
            <w:highlight w:val="white"/>
          </w:rPr>
          <w:t>20</w:t>
        </w:r>
        <w:r w:rsidR="00901FB3">
          <w:rPr>
            <w:rFonts w:ascii="宋体" w:hAnsi="宋体" w:cs="宋体"/>
            <w:noProof/>
          </w:rPr>
          <w:fldChar w:fldCharType="end"/>
        </w:r>
      </w:hyperlink>
    </w:p>
    <w:p w:rsidR="00BC44E7" w14:paraId="67DC9E4B" w14:textId="77777777">
      <w:pPr>
        <w:pStyle w:val="TOC2"/>
        <w:rPr>
          <w:rFonts w:ascii="宋体" w:hAnsi="宋体" w:cs="宋体"/>
          <w:noProof/>
          <w:sz w:val="22"/>
          <w:szCs w:val="22"/>
        </w:rPr>
      </w:pPr>
      <w:hyperlink w:anchor="_Toc68875912" w:tooltip="Current Document" w:history="1">
        <w:r w:rsidR="00901FB3">
          <w:rPr>
            <w:rStyle w:val="Hyperlink"/>
            <w:rFonts w:ascii="宋体" w:hAnsi="宋体" w:cs="宋体" w:hint="eastAsia"/>
            <w:noProof/>
            <w:highlight w:val="white"/>
          </w:rPr>
          <w:t>十、基金信息披露</w:t>
        </w:r>
        <w:r w:rsidR="00901FB3">
          <w:rPr>
            <w:rFonts w:ascii="宋体" w:hAnsi="宋体" w:cs="宋体"/>
            <w:noProof/>
            <w:highlight w:val="white"/>
          </w:rPr>
          <w:tab/>
        </w:r>
        <w:r w:rsidR="00901FB3">
          <w:rPr>
            <w:rFonts w:ascii="宋体" w:hAnsi="宋体" w:cs="宋体"/>
            <w:noProof/>
          </w:rPr>
          <w:fldChar w:fldCharType="begin"/>
        </w:r>
        <w:r w:rsidR="00901FB3">
          <w:rPr>
            <w:rFonts w:ascii="宋体" w:hAnsi="宋体" w:cs="宋体"/>
            <w:noProof/>
            <w:highlight w:val="white"/>
          </w:rPr>
          <w:instrText xml:space="preserve"> PAGEREF _Toc68875912 \h </w:instrText>
        </w:r>
        <w:r w:rsidR="00901FB3">
          <w:rPr>
            <w:rFonts w:ascii="宋体" w:hAnsi="宋体" w:cs="宋体"/>
            <w:noProof/>
          </w:rPr>
          <w:fldChar w:fldCharType="separate"/>
        </w:r>
        <w:r w:rsidR="00781A3B">
          <w:rPr>
            <w:rFonts w:ascii="宋体" w:hAnsi="宋体" w:cs="宋体"/>
            <w:noProof/>
            <w:highlight w:val="white"/>
          </w:rPr>
          <w:t>21</w:t>
        </w:r>
        <w:r w:rsidR="00901FB3">
          <w:rPr>
            <w:rFonts w:ascii="宋体" w:hAnsi="宋体" w:cs="宋体"/>
            <w:noProof/>
          </w:rPr>
          <w:fldChar w:fldCharType="end"/>
        </w:r>
      </w:hyperlink>
    </w:p>
    <w:p w:rsidR="00BC44E7" w14:paraId="15B185DB" w14:textId="77777777">
      <w:pPr>
        <w:pStyle w:val="TOC2"/>
        <w:rPr>
          <w:rFonts w:ascii="宋体" w:hAnsi="宋体" w:cs="宋体"/>
          <w:noProof/>
          <w:sz w:val="22"/>
          <w:szCs w:val="22"/>
        </w:rPr>
      </w:pPr>
      <w:hyperlink w:anchor="_Toc68875913" w:tooltip="Current Document" w:history="1">
        <w:r w:rsidR="00901FB3">
          <w:rPr>
            <w:rStyle w:val="Hyperlink"/>
            <w:rFonts w:ascii="宋体" w:hAnsi="宋体" w:cs="宋体" w:hint="eastAsia"/>
            <w:noProof/>
            <w:highlight w:val="white"/>
          </w:rPr>
          <w:t>十一、基金费用</w:t>
        </w:r>
        <w:r w:rsidR="00901FB3">
          <w:rPr>
            <w:rFonts w:ascii="宋体" w:hAnsi="宋体" w:cs="宋体"/>
            <w:noProof/>
            <w:highlight w:val="white"/>
          </w:rPr>
          <w:tab/>
        </w:r>
        <w:r w:rsidR="00901FB3">
          <w:rPr>
            <w:rFonts w:ascii="宋体" w:hAnsi="宋体" w:cs="宋体"/>
            <w:noProof/>
          </w:rPr>
          <w:fldChar w:fldCharType="begin"/>
        </w:r>
        <w:r w:rsidR="00901FB3">
          <w:rPr>
            <w:rFonts w:ascii="宋体" w:hAnsi="宋体" w:cs="宋体"/>
            <w:noProof/>
            <w:highlight w:val="white"/>
          </w:rPr>
          <w:instrText xml:space="preserve"> PAGEREF _Toc68875913 \h </w:instrText>
        </w:r>
        <w:r w:rsidR="00901FB3">
          <w:rPr>
            <w:rFonts w:ascii="宋体" w:hAnsi="宋体" w:cs="宋体"/>
            <w:noProof/>
          </w:rPr>
          <w:fldChar w:fldCharType="separate"/>
        </w:r>
        <w:r>
          <w:rPr>
            <w:rFonts w:ascii="宋体" w:hAnsi="宋体" w:cs="宋体"/>
            <w:noProof/>
            <w:highlight w:val="white"/>
          </w:rPr>
          <w:t>22</w:t>
        </w:r>
        <w:r w:rsidR="00901FB3">
          <w:rPr>
            <w:rFonts w:ascii="宋体" w:hAnsi="宋体" w:cs="宋体"/>
            <w:noProof/>
          </w:rPr>
          <w:fldChar w:fldCharType="end"/>
        </w:r>
      </w:hyperlink>
    </w:p>
    <w:p w:rsidR="00BC44E7" w14:paraId="5668D788" w14:textId="77777777">
      <w:pPr>
        <w:pStyle w:val="TOC2"/>
        <w:rPr>
          <w:rFonts w:ascii="宋体" w:hAnsi="宋体" w:cs="宋体"/>
          <w:noProof/>
          <w:sz w:val="22"/>
          <w:szCs w:val="22"/>
        </w:rPr>
      </w:pPr>
      <w:hyperlink w:anchor="_Toc68875914" w:tooltip="Current Document" w:history="1">
        <w:r w:rsidR="00901FB3">
          <w:rPr>
            <w:rStyle w:val="Hyperlink"/>
            <w:rFonts w:ascii="宋体" w:hAnsi="宋体" w:cs="宋体" w:hint="eastAsia"/>
            <w:noProof/>
            <w:highlight w:val="white"/>
          </w:rPr>
          <w:t>十二、基金份额持有人名册的保管</w:t>
        </w:r>
        <w:r w:rsidR="00901FB3">
          <w:rPr>
            <w:rFonts w:ascii="宋体" w:hAnsi="宋体" w:cs="宋体"/>
            <w:noProof/>
            <w:highlight w:val="white"/>
          </w:rPr>
          <w:tab/>
        </w:r>
        <w:r w:rsidR="00901FB3">
          <w:rPr>
            <w:rFonts w:ascii="宋体" w:hAnsi="宋体" w:cs="宋体"/>
            <w:noProof/>
          </w:rPr>
          <w:fldChar w:fldCharType="begin"/>
        </w:r>
        <w:r w:rsidR="00901FB3">
          <w:rPr>
            <w:rFonts w:ascii="宋体" w:hAnsi="宋体" w:cs="宋体"/>
            <w:noProof/>
            <w:highlight w:val="white"/>
          </w:rPr>
          <w:instrText xml:space="preserve"> PAGEREF _Toc68875914 \h </w:instrText>
        </w:r>
        <w:r w:rsidR="00901FB3">
          <w:rPr>
            <w:rFonts w:ascii="宋体" w:hAnsi="宋体" w:cs="宋体"/>
            <w:noProof/>
          </w:rPr>
          <w:fldChar w:fldCharType="separate"/>
        </w:r>
        <w:r w:rsidR="00781A3B">
          <w:rPr>
            <w:rFonts w:ascii="宋体" w:hAnsi="宋体" w:cs="宋体"/>
            <w:noProof/>
            <w:highlight w:val="white"/>
          </w:rPr>
          <w:t>24</w:t>
        </w:r>
        <w:r w:rsidR="00901FB3">
          <w:rPr>
            <w:rFonts w:ascii="宋体" w:hAnsi="宋体" w:cs="宋体"/>
            <w:noProof/>
          </w:rPr>
          <w:fldChar w:fldCharType="end"/>
        </w:r>
      </w:hyperlink>
    </w:p>
    <w:p w:rsidR="00BC44E7" w14:paraId="0F21665C" w14:textId="77777777">
      <w:pPr>
        <w:pStyle w:val="TOC2"/>
        <w:rPr>
          <w:rFonts w:ascii="宋体" w:hAnsi="宋体" w:cs="宋体"/>
          <w:noProof/>
          <w:sz w:val="22"/>
          <w:szCs w:val="22"/>
        </w:rPr>
      </w:pPr>
      <w:hyperlink w:anchor="_Toc68875915" w:tooltip="Current Document" w:history="1">
        <w:r w:rsidR="00901FB3">
          <w:rPr>
            <w:rStyle w:val="Hyperlink"/>
            <w:rFonts w:ascii="宋体" w:hAnsi="宋体" w:cs="宋体" w:hint="eastAsia"/>
            <w:noProof/>
            <w:highlight w:val="white"/>
          </w:rPr>
          <w:t>十三、基金有关文件档案的保存</w:t>
        </w:r>
        <w:r w:rsidR="00901FB3">
          <w:rPr>
            <w:rFonts w:ascii="宋体" w:hAnsi="宋体" w:cs="宋体"/>
            <w:noProof/>
            <w:highlight w:val="white"/>
          </w:rPr>
          <w:tab/>
        </w:r>
        <w:r w:rsidR="00901FB3">
          <w:rPr>
            <w:rFonts w:ascii="宋体" w:hAnsi="宋体" w:cs="宋体"/>
            <w:noProof/>
          </w:rPr>
          <w:fldChar w:fldCharType="begin"/>
        </w:r>
        <w:r w:rsidR="00901FB3">
          <w:rPr>
            <w:rFonts w:ascii="宋体" w:hAnsi="宋体" w:cs="宋体"/>
            <w:noProof/>
            <w:highlight w:val="white"/>
          </w:rPr>
          <w:instrText xml:space="preserve"> PAGEREF _Toc68875915 \h </w:instrText>
        </w:r>
        <w:r w:rsidR="00901FB3">
          <w:rPr>
            <w:rFonts w:ascii="宋体" w:hAnsi="宋体" w:cs="宋体"/>
            <w:noProof/>
          </w:rPr>
          <w:fldChar w:fldCharType="separate"/>
        </w:r>
        <w:r>
          <w:rPr>
            <w:rFonts w:ascii="宋体" w:hAnsi="宋体" w:cs="宋体"/>
            <w:noProof/>
            <w:highlight w:val="white"/>
          </w:rPr>
          <w:t>25</w:t>
        </w:r>
        <w:r w:rsidR="00901FB3">
          <w:rPr>
            <w:rFonts w:ascii="宋体" w:hAnsi="宋体" w:cs="宋体"/>
            <w:noProof/>
          </w:rPr>
          <w:fldChar w:fldCharType="end"/>
        </w:r>
      </w:hyperlink>
    </w:p>
    <w:p w:rsidR="00BC44E7" w14:paraId="0F6084C2" w14:textId="77777777">
      <w:pPr>
        <w:pStyle w:val="TOC2"/>
        <w:rPr>
          <w:rFonts w:ascii="宋体" w:hAnsi="宋体" w:cs="宋体"/>
          <w:noProof/>
          <w:sz w:val="22"/>
          <w:szCs w:val="22"/>
        </w:rPr>
      </w:pPr>
      <w:hyperlink w:anchor="_Toc68875916" w:tooltip="Current Document" w:history="1">
        <w:r w:rsidR="00901FB3">
          <w:rPr>
            <w:rStyle w:val="Hyperlink"/>
            <w:rFonts w:ascii="宋体" w:hAnsi="宋体" w:cs="宋体" w:hint="eastAsia"/>
            <w:noProof/>
            <w:highlight w:val="white"/>
          </w:rPr>
          <w:t>十四、基金管理人和基金托管人的更换</w:t>
        </w:r>
        <w:r w:rsidR="00901FB3">
          <w:rPr>
            <w:rFonts w:ascii="宋体" w:hAnsi="宋体" w:cs="宋体"/>
            <w:noProof/>
            <w:highlight w:val="white"/>
          </w:rPr>
          <w:tab/>
        </w:r>
        <w:r w:rsidR="00901FB3">
          <w:rPr>
            <w:rFonts w:ascii="宋体" w:hAnsi="宋体" w:cs="宋体"/>
            <w:noProof/>
          </w:rPr>
          <w:fldChar w:fldCharType="begin"/>
        </w:r>
        <w:r w:rsidR="00901FB3">
          <w:rPr>
            <w:rFonts w:ascii="宋体" w:hAnsi="宋体" w:cs="宋体"/>
            <w:noProof/>
            <w:highlight w:val="white"/>
          </w:rPr>
          <w:instrText xml:space="preserve"> PAGEREF _Toc68875916 \h </w:instrText>
        </w:r>
        <w:r w:rsidR="00901FB3">
          <w:rPr>
            <w:rFonts w:ascii="宋体" w:hAnsi="宋体" w:cs="宋体"/>
            <w:noProof/>
          </w:rPr>
          <w:fldChar w:fldCharType="separate"/>
        </w:r>
        <w:r w:rsidR="00781A3B">
          <w:rPr>
            <w:rFonts w:ascii="宋体" w:hAnsi="宋体" w:cs="宋体"/>
            <w:noProof/>
            <w:highlight w:val="white"/>
          </w:rPr>
          <w:t>25</w:t>
        </w:r>
        <w:r w:rsidR="00901FB3">
          <w:rPr>
            <w:rFonts w:ascii="宋体" w:hAnsi="宋体" w:cs="宋体"/>
            <w:noProof/>
          </w:rPr>
          <w:fldChar w:fldCharType="end"/>
        </w:r>
      </w:hyperlink>
    </w:p>
    <w:p w:rsidR="00BC44E7" w14:paraId="04D1B5D6" w14:textId="77777777">
      <w:pPr>
        <w:pStyle w:val="TOC2"/>
        <w:rPr>
          <w:rFonts w:ascii="宋体" w:hAnsi="宋体" w:cs="宋体"/>
          <w:noProof/>
          <w:sz w:val="22"/>
          <w:szCs w:val="22"/>
        </w:rPr>
      </w:pPr>
      <w:hyperlink w:anchor="_Toc68875917" w:tooltip="Current Document" w:history="1">
        <w:r w:rsidR="00901FB3">
          <w:rPr>
            <w:rStyle w:val="Hyperlink"/>
            <w:rFonts w:ascii="宋体" w:hAnsi="宋体" w:cs="宋体" w:hint="eastAsia"/>
            <w:noProof/>
            <w:highlight w:val="white"/>
          </w:rPr>
          <w:t>十五、禁止行为</w:t>
        </w:r>
        <w:r w:rsidR="00901FB3">
          <w:rPr>
            <w:rFonts w:ascii="宋体" w:hAnsi="宋体" w:cs="宋体"/>
            <w:noProof/>
            <w:highlight w:val="white"/>
          </w:rPr>
          <w:tab/>
        </w:r>
        <w:r w:rsidR="00901FB3">
          <w:rPr>
            <w:rFonts w:ascii="宋体" w:hAnsi="宋体" w:cs="宋体"/>
            <w:noProof/>
          </w:rPr>
          <w:fldChar w:fldCharType="begin"/>
        </w:r>
        <w:r w:rsidR="00901FB3">
          <w:rPr>
            <w:rFonts w:ascii="宋体" w:hAnsi="宋体" w:cs="宋体"/>
            <w:noProof/>
            <w:highlight w:val="white"/>
          </w:rPr>
          <w:instrText xml:space="preserve"> PAGEREF _Toc68875917 \h </w:instrText>
        </w:r>
        <w:r w:rsidR="00901FB3">
          <w:rPr>
            <w:rFonts w:ascii="宋体" w:hAnsi="宋体" w:cs="宋体"/>
            <w:noProof/>
          </w:rPr>
          <w:fldChar w:fldCharType="separate"/>
        </w:r>
        <w:r>
          <w:rPr>
            <w:rFonts w:ascii="宋体" w:hAnsi="宋体" w:cs="宋体"/>
            <w:noProof/>
            <w:highlight w:val="white"/>
          </w:rPr>
          <w:t>27</w:t>
        </w:r>
        <w:r w:rsidR="00901FB3">
          <w:rPr>
            <w:rFonts w:ascii="宋体" w:hAnsi="宋体" w:cs="宋体"/>
            <w:noProof/>
          </w:rPr>
          <w:fldChar w:fldCharType="end"/>
        </w:r>
      </w:hyperlink>
    </w:p>
    <w:p w:rsidR="00BC44E7" w14:paraId="7C397E6C" w14:textId="77777777">
      <w:pPr>
        <w:pStyle w:val="TOC2"/>
        <w:rPr>
          <w:rFonts w:ascii="宋体" w:hAnsi="宋体" w:cs="宋体"/>
          <w:noProof/>
          <w:sz w:val="22"/>
          <w:szCs w:val="22"/>
        </w:rPr>
      </w:pPr>
      <w:hyperlink w:anchor="_Toc68875918" w:tooltip="Current Document" w:history="1">
        <w:r w:rsidR="00901FB3">
          <w:rPr>
            <w:rStyle w:val="Hyperlink"/>
            <w:rFonts w:ascii="宋体" w:hAnsi="宋体" w:cs="宋体" w:hint="eastAsia"/>
            <w:noProof/>
            <w:highlight w:val="white"/>
          </w:rPr>
          <w:t>十六、托管协议的变更、终止与基金财产的清算</w:t>
        </w:r>
        <w:r w:rsidR="00901FB3">
          <w:rPr>
            <w:rFonts w:ascii="宋体" w:hAnsi="宋体" w:cs="宋体"/>
            <w:noProof/>
            <w:highlight w:val="white"/>
          </w:rPr>
          <w:tab/>
        </w:r>
        <w:r w:rsidR="00901FB3">
          <w:rPr>
            <w:rFonts w:ascii="宋体" w:hAnsi="宋体" w:cs="宋体"/>
            <w:noProof/>
          </w:rPr>
          <w:fldChar w:fldCharType="begin"/>
        </w:r>
        <w:r w:rsidR="00901FB3">
          <w:rPr>
            <w:rFonts w:ascii="宋体" w:hAnsi="宋体" w:cs="宋体"/>
            <w:noProof/>
            <w:highlight w:val="white"/>
          </w:rPr>
          <w:instrText xml:space="preserve"> PAGEREF _Toc68875918 \h </w:instrText>
        </w:r>
        <w:r w:rsidR="00901FB3">
          <w:rPr>
            <w:rFonts w:ascii="宋体" w:hAnsi="宋体" w:cs="宋体"/>
            <w:noProof/>
          </w:rPr>
          <w:fldChar w:fldCharType="separate"/>
        </w:r>
        <w:r w:rsidR="00781A3B">
          <w:rPr>
            <w:rFonts w:ascii="宋体" w:hAnsi="宋体" w:cs="宋体"/>
            <w:noProof/>
            <w:highlight w:val="white"/>
          </w:rPr>
          <w:t>27</w:t>
        </w:r>
        <w:r w:rsidR="00901FB3">
          <w:rPr>
            <w:rFonts w:ascii="宋体" w:hAnsi="宋体" w:cs="宋体"/>
            <w:noProof/>
          </w:rPr>
          <w:fldChar w:fldCharType="end"/>
        </w:r>
      </w:hyperlink>
    </w:p>
    <w:p w:rsidR="00BC44E7" w14:paraId="44B3F177" w14:textId="77777777">
      <w:pPr>
        <w:pStyle w:val="TOC2"/>
        <w:rPr>
          <w:rFonts w:ascii="宋体" w:hAnsi="宋体" w:cs="宋体"/>
          <w:noProof/>
          <w:sz w:val="22"/>
          <w:szCs w:val="22"/>
        </w:rPr>
      </w:pPr>
      <w:hyperlink w:anchor="_Toc68875919" w:tooltip="Current Document" w:history="1">
        <w:r w:rsidR="00901FB3">
          <w:rPr>
            <w:rStyle w:val="Hyperlink"/>
            <w:rFonts w:ascii="宋体" w:hAnsi="宋体" w:cs="宋体" w:hint="eastAsia"/>
            <w:noProof/>
            <w:highlight w:val="white"/>
          </w:rPr>
          <w:t>十七、违约责任</w:t>
        </w:r>
        <w:r w:rsidR="00901FB3">
          <w:rPr>
            <w:rFonts w:ascii="宋体" w:hAnsi="宋体" w:cs="宋体"/>
            <w:noProof/>
            <w:highlight w:val="white"/>
          </w:rPr>
          <w:tab/>
        </w:r>
        <w:r w:rsidR="00901FB3">
          <w:rPr>
            <w:rFonts w:ascii="宋体" w:hAnsi="宋体" w:cs="宋体"/>
            <w:noProof/>
          </w:rPr>
          <w:fldChar w:fldCharType="begin"/>
        </w:r>
        <w:r w:rsidR="00901FB3">
          <w:rPr>
            <w:rFonts w:ascii="宋体" w:hAnsi="宋体" w:cs="宋体"/>
            <w:noProof/>
            <w:highlight w:val="white"/>
          </w:rPr>
          <w:instrText xml:space="preserve"> PAGEREF _Toc68875919 \h </w:instrText>
        </w:r>
        <w:r w:rsidR="00901FB3">
          <w:rPr>
            <w:rFonts w:ascii="宋体" w:hAnsi="宋体" w:cs="宋体"/>
            <w:noProof/>
          </w:rPr>
          <w:fldChar w:fldCharType="separate"/>
        </w:r>
        <w:r w:rsidR="00781A3B">
          <w:rPr>
            <w:rFonts w:ascii="宋体" w:hAnsi="宋体" w:cs="宋体"/>
            <w:noProof/>
            <w:highlight w:val="white"/>
          </w:rPr>
          <w:t>28</w:t>
        </w:r>
        <w:r w:rsidR="00901FB3">
          <w:rPr>
            <w:rFonts w:ascii="宋体" w:hAnsi="宋体" w:cs="宋体"/>
            <w:noProof/>
          </w:rPr>
          <w:fldChar w:fldCharType="end"/>
        </w:r>
      </w:hyperlink>
    </w:p>
    <w:p w:rsidR="00BC44E7" w14:paraId="4643425D" w14:textId="77777777">
      <w:pPr>
        <w:pStyle w:val="TOC2"/>
        <w:rPr>
          <w:rFonts w:ascii="宋体" w:hAnsi="宋体" w:cs="宋体"/>
          <w:noProof/>
          <w:sz w:val="22"/>
          <w:szCs w:val="22"/>
        </w:rPr>
      </w:pPr>
      <w:hyperlink w:anchor="_Toc68875920" w:tooltip="Current Document" w:history="1">
        <w:r w:rsidR="00901FB3">
          <w:rPr>
            <w:rStyle w:val="Hyperlink"/>
            <w:rFonts w:ascii="宋体" w:hAnsi="宋体" w:cs="宋体" w:hint="eastAsia"/>
            <w:noProof/>
            <w:highlight w:val="white"/>
          </w:rPr>
          <w:t>十八、争议解决方式</w:t>
        </w:r>
        <w:r w:rsidR="00901FB3">
          <w:rPr>
            <w:rFonts w:ascii="宋体" w:hAnsi="宋体" w:cs="宋体"/>
            <w:noProof/>
            <w:highlight w:val="white"/>
          </w:rPr>
          <w:tab/>
        </w:r>
        <w:r w:rsidR="00901FB3">
          <w:rPr>
            <w:rFonts w:ascii="宋体" w:hAnsi="宋体" w:cs="宋体"/>
            <w:noProof/>
          </w:rPr>
          <w:fldChar w:fldCharType="begin"/>
        </w:r>
        <w:r w:rsidR="00901FB3">
          <w:rPr>
            <w:rFonts w:ascii="宋体" w:hAnsi="宋体" w:cs="宋体"/>
            <w:noProof/>
            <w:highlight w:val="white"/>
          </w:rPr>
          <w:instrText xml:space="preserve"> PAGEREF _Toc68875920 \h </w:instrText>
        </w:r>
        <w:r w:rsidR="00901FB3">
          <w:rPr>
            <w:rFonts w:ascii="宋体" w:hAnsi="宋体" w:cs="宋体"/>
            <w:noProof/>
          </w:rPr>
          <w:fldChar w:fldCharType="separate"/>
        </w:r>
        <w:r w:rsidR="00781A3B">
          <w:rPr>
            <w:rFonts w:ascii="宋体" w:hAnsi="宋体" w:cs="宋体"/>
            <w:noProof/>
            <w:highlight w:val="white"/>
          </w:rPr>
          <w:t>29</w:t>
        </w:r>
        <w:r w:rsidR="00901FB3">
          <w:rPr>
            <w:rFonts w:ascii="宋体" w:hAnsi="宋体" w:cs="宋体"/>
            <w:noProof/>
          </w:rPr>
          <w:fldChar w:fldCharType="end"/>
        </w:r>
      </w:hyperlink>
    </w:p>
    <w:p w:rsidR="00BC44E7" w14:paraId="1D55C55A" w14:textId="77777777">
      <w:pPr>
        <w:pStyle w:val="TOC2"/>
        <w:rPr>
          <w:rFonts w:ascii="宋体" w:hAnsi="宋体" w:cs="宋体"/>
          <w:noProof/>
          <w:sz w:val="22"/>
          <w:szCs w:val="22"/>
        </w:rPr>
      </w:pPr>
      <w:hyperlink w:anchor="_Toc68875921" w:tooltip="Current Document" w:history="1">
        <w:r w:rsidR="00901FB3">
          <w:rPr>
            <w:rStyle w:val="Hyperlink"/>
            <w:rFonts w:ascii="宋体" w:hAnsi="宋体" w:cs="宋体" w:hint="eastAsia"/>
            <w:noProof/>
            <w:highlight w:val="white"/>
          </w:rPr>
          <w:t>十九、托管协议的效力</w:t>
        </w:r>
        <w:r w:rsidR="00901FB3">
          <w:rPr>
            <w:rFonts w:ascii="宋体" w:hAnsi="宋体" w:cs="宋体"/>
            <w:noProof/>
            <w:highlight w:val="white"/>
          </w:rPr>
          <w:tab/>
        </w:r>
        <w:r w:rsidR="00901FB3">
          <w:rPr>
            <w:rFonts w:ascii="宋体" w:hAnsi="宋体" w:cs="宋体"/>
            <w:noProof/>
          </w:rPr>
          <w:fldChar w:fldCharType="begin"/>
        </w:r>
        <w:r w:rsidR="00901FB3">
          <w:rPr>
            <w:rFonts w:ascii="宋体" w:hAnsi="宋体" w:cs="宋体"/>
            <w:noProof/>
            <w:highlight w:val="white"/>
          </w:rPr>
          <w:instrText xml:space="preserve"> PAGEREF _Toc68875921 \h </w:instrText>
        </w:r>
        <w:r w:rsidR="00901FB3">
          <w:rPr>
            <w:rFonts w:ascii="宋体" w:hAnsi="宋体" w:cs="宋体"/>
            <w:noProof/>
          </w:rPr>
          <w:fldChar w:fldCharType="separate"/>
        </w:r>
        <w:r w:rsidR="00781A3B">
          <w:rPr>
            <w:rFonts w:ascii="宋体" w:hAnsi="宋体" w:cs="宋体"/>
            <w:noProof/>
            <w:highlight w:val="white"/>
          </w:rPr>
          <w:t>29</w:t>
        </w:r>
        <w:r w:rsidR="00901FB3">
          <w:rPr>
            <w:rFonts w:ascii="宋体" w:hAnsi="宋体" w:cs="宋体"/>
            <w:noProof/>
          </w:rPr>
          <w:fldChar w:fldCharType="end"/>
        </w:r>
      </w:hyperlink>
    </w:p>
    <w:p w:rsidR="00BC44E7" w14:paraId="7E80BFD2" w14:textId="77777777">
      <w:pPr>
        <w:pStyle w:val="TOC2"/>
        <w:rPr>
          <w:rFonts w:ascii="宋体" w:hAnsi="宋体" w:cs="宋体"/>
          <w:noProof/>
          <w:sz w:val="22"/>
          <w:szCs w:val="22"/>
        </w:rPr>
      </w:pPr>
      <w:hyperlink w:anchor="_Toc68875922" w:tooltip="Current Document" w:history="1">
        <w:r w:rsidR="00901FB3">
          <w:rPr>
            <w:rStyle w:val="Hyperlink"/>
            <w:rFonts w:ascii="宋体" w:hAnsi="宋体" w:cs="宋体" w:hint="eastAsia"/>
            <w:noProof/>
            <w:highlight w:val="white"/>
          </w:rPr>
          <w:t>二十、其他事项</w:t>
        </w:r>
        <w:r w:rsidR="00901FB3">
          <w:rPr>
            <w:rFonts w:ascii="宋体" w:hAnsi="宋体" w:cs="宋体"/>
            <w:noProof/>
            <w:highlight w:val="white"/>
          </w:rPr>
          <w:tab/>
        </w:r>
        <w:r w:rsidR="00901FB3">
          <w:rPr>
            <w:rFonts w:ascii="宋体" w:hAnsi="宋体" w:cs="宋体"/>
            <w:noProof/>
          </w:rPr>
          <w:fldChar w:fldCharType="begin"/>
        </w:r>
        <w:r w:rsidR="00901FB3">
          <w:rPr>
            <w:rFonts w:ascii="宋体" w:hAnsi="宋体" w:cs="宋体"/>
            <w:noProof/>
            <w:highlight w:val="white"/>
          </w:rPr>
          <w:instrText xml:space="preserve"> PAGEREF _Toc68875922 \h </w:instrText>
        </w:r>
        <w:r w:rsidR="00901FB3">
          <w:rPr>
            <w:rFonts w:ascii="宋体" w:hAnsi="宋体" w:cs="宋体"/>
            <w:noProof/>
          </w:rPr>
          <w:fldChar w:fldCharType="separate"/>
        </w:r>
        <w:r w:rsidR="00781A3B">
          <w:rPr>
            <w:rFonts w:ascii="宋体" w:hAnsi="宋体" w:cs="宋体"/>
            <w:noProof/>
            <w:highlight w:val="white"/>
          </w:rPr>
          <w:t>30</w:t>
        </w:r>
        <w:r w:rsidR="00901FB3">
          <w:rPr>
            <w:rFonts w:ascii="宋体" w:hAnsi="宋体" w:cs="宋体"/>
            <w:noProof/>
          </w:rPr>
          <w:fldChar w:fldCharType="end"/>
        </w:r>
      </w:hyperlink>
    </w:p>
    <w:p w:rsidR="00BC44E7" w14:paraId="2C4BC8FC" w14:textId="77777777">
      <w:pPr>
        <w:pStyle w:val="TOC2"/>
        <w:rPr>
          <w:rFonts w:ascii="宋体" w:hAnsi="宋体" w:cs="宋体"/>
          <w:noProof/>
          <w:sz w:val="22"/>
          <w:szCs w:val="22"/>
        </w:rPr>
      </w:pPr>
      <w:hyperlink w:anchor="_Toc68875923" w:tooltip="Current Document" w:history="1">
        <w:r w:rsidR="00901FB3">
          <w:rPr>
            <w:rStyle w:val="Hyperlink"/>
            <w:rFonts w:ascii="宋体" w:hAnsi="宋体" w:cs="宋体" w:hint="eastAsia"/>
            <w:noProof/>
            <w:highlight w:val="white"/>
          </w:rPr>
          <w:t>二十一、托管协议的签订</w:t>
        </w:r>
        <w:r w:rsidR="00901FB3">
          <w:rPr>
            <w:rFonts w:ascii="宋体" w:hAnsi="宋体" w:cs="宋体"/>
            <w:noProof/>
            <w:highlight w:val="white"/>
          </w:rPr>
          <w:tab/>
        </w:r>
        <w:r w:rsidR="00901FB3">
          <w:rPr>
            <w:rFonts w:ascii="宋体" w:hAnsi="宋体" w:cs="宋体"/>
            <w:noProof/>
          </w:rPr>
          <w:fldChar w:fldCharType="begin"/>
        </w:r>
        <w:r w:rsidR="00901FB3">
          <w:rPr>
            <w:rFonts w:ascii="宋体" w:hAnsi="宋体" w:cs="宋体"/>
            <w:noProof/>
            <w:highlight w:val="white"/>
          </w:rPr>
          <w:instrText xml:space="preserve"> PAGEREF _Toc68875923 \h </w:instrText>
        </w:r>
        <w:r w:rsidR="00901FB3">
          <w:rPr>
            <w:rFonts w:ascii="宋体" w:hAnsi="宋体" w:cs="宋体"/>
            <w:noProof/>
          </w:rPr>
          <w:fldChar w:fldCharType="separate"/>
        </w:r>
        <w:r w:rsidR="00781A3B">
          <w:rPr>
            <w:rFonts w:ascii="宋体" w:hAnsi="宋体" w:cs="宋体"/>
            <w:noProof/>
            <w:highlight w:val="white"/>
          </w:rPr>
          <w:t>30</w:t>
        </w:r>
        <w:r w:rsidR="00901FB3">
          <w:rPr>
            <w:rFonts w:ascii="宋体" w:hAnsi="宋体" w:cs="宋体"/>
            <w:noProof/>
          </w:rPr>
          <w:fldChar w:fldCharType="end"/>
        </w:r>
      </w:hyperlink>
    </w:p>
    <w:p w:rsidR="00BC44E7" w14:paraId="726A4263" w14:textId="77777777">
      <w:pPr>
        <w:rPr>
          <w:rFonts w:ascii="宋体" w:hAnsi="宋体" w:cs="宋体"/>
          <w:sz w:val="24"/>
        </w:rPr>
      </w:pPr>
      <w:r>
        <w:rPr>
          <w:rFonts w:ascii="宋体" w:hAnsi="宋体" w:cs="宋体"/>
          <w:sz w:val="28"/>
        </w:rPr>
        <w:fldChar w:fldCharType="end"/>
      </w:r>
    </w:p>
    <w:p w:rsidR="00BC44E7" w14:paraId="7181BDCF" w14:textId="77777777">
      <w:pPr>
        <w:widowControl/>
        <w:snapToGrid w:val="0"/>
        <w:ind w:firstLine="480"/>
        <w:rPr>
          <w:rFonts w:ascii="宋体" w:hAnsi="宋体" w:cs="宋体"/>
          <w:sz w:val="24"/>
        </w:rPr>
      </w:pPr>
    </w:p>
    <w:p w:rsidR="00BC44E7" w14:paraId="195B9321" w14:textId="77777777">
      <w:pPr>
        <w:widowControl/>
        <w:ind w:firstLine="480"/>
        <w:rPr>
          <w:rFonts w:ascii="宋体" w:hAnsi="宋体" w:cs="宋体"/>
          <w:sz w:val="24"/>
        </w:rPr>
      </w:pPr>
    </w:p>
    <w:p w:rsidR="00BC44E7" w14:paraId="6928263D" w14:textId="77777777">
      <w:pPr>
        <w:widowControl/>
        <w:ind w:firstLine="480"/>
        <w:rPr>
          <w:rFonts w:ascii="宋体" w:hAnsi="宋体" w:cs="宋体"/>
          <w:sz w:val="24"/>
        </w:rPr>
      </w:pPr>
    </w:p>
    <w:p w:rsidR="00BC44E7" w14:paraId="444FD66A" w14:textId="77777777">
      <w:pPr>
        <w:widowControl/>
        <w:ind w:firstLine="480"/>
        <w:rPr>
          <w:rFonts w:ascii="宋体" w:hAnsi="宋体" w:cs="宋体"/>
          <w:sz w:val="24"/>
        </w:rPr>
      </w:pPr>
    </w:p>
    <w:p w:rsidR="00BC44E7" w14:paraId="45E17BB2" w14:textId="77777777">
      <w:pPr>
        <w:widowControl/>
        <w:ind w:firstLine="480"/>
        <w:rPr>
          <w:rFonts w:ascii="宋体" w:hAnsi="宋体" w:cs="宋体"/>
          <w:sz w:val="24"/>
        </w:rPr>
      </w:pPr>
    </w:p>
    <w:p w:rsidR="00BC44E7" w14:paraId="765337AC" w14:textId="77777777">
      <w:pPr>
        <w:widowControl/>
        <w:ind w:firstLine="480"/>
        <w:rPr>
          <w:rFonts w:ascii="宋体" w:hAnsi="宋体" w:cs="宋体"/>
          <w:sz w:val="24"/>
        </w:rPr>
      </w:pPr>
    </w:p>
    <w:p w:rsidR="00BC44E7" w14:paraId="718BC3C8" w14:textId="77777777">
      <w:pPr>
        <w:widowControl/>
        <w:ind w:firstLine="480"/>
        <w:rPr>
          <w:rFonts w:ascii="宋体" w:hAnsi="宋体" w:cs="宋体"/>
          <w:sz w:val="24"/>
        </w:rPr>
      </w:pPr>
    </w:p>
    <w:p w:rsidR="00BC44E7" w14:paraId="19E2CB11" w14:textId="77777777">
      <w:pPr>
        <w:widowControl/>
        <w:ind w:firstLine="480"/>
        <w:rPr>
          <w:rFonts w:ascii="宋体" w:hAnsi="宋体" w:cs="宋体"/>
          <w:sz w:val="24"/>
        </w:rPr>
      </w:pPr>
    </w:p>
    <w:p w:rsidR="00BC44E7" w14:paraId="2C9504F2" w14:textId="77777777">
      <w:pPr>
        <w:widowControl/>
        <w:ind w:firstLine="480"/>
        <w:rPr>
          <w:rFonts w:ascii="宋体" w:hAnsi="宋体" w:cs="宋体"/>
          <w:sz w:val="24"/>
        </w:rPr>
      </w:pPr>
    </w:p>
    <w:p w:rsidR="00BC44E7" w14:paraId="6BEB9379" w14:textId="77777777">
      <w:pPr>
        <w:widowControl/>
        <w:ind w:firstLine="480"/>
        <w:rPr>
          <w:rFonts w:ascii="宋体" w:hAnsi="宋体" w:cs="宋体"/>
          <w:sz w:val="24"/>
        </w:rPr>
      </w:pPr>
    </w:p>
    <w:p w:rsidR="00BC44E7" w14:paraId="478587CF" w14:textId="77777777">
      <w:pPr>
        <w:widowControl/>
        <w:ind w:firstLine="480"/>
        <w:rPr>
          <w:rFonts w:ascii="宋体" w:hAnsi="宋体" w:cs="宋体"/>
          <w:sz w:val="24"/>
        </w:rPr>
      </w:pPr>
    </w:p>
    <w:p w:rsidR="00BC44E7" w14:paraId="68B7FDF8" w14:textId="77777777">
      <w:pPr>
        <w:widowControl/>
        <w:ind w:firstLine="480"/>
        <w:rPr>
          <w:rFonts w:ascii="宋体" w:hAnsi="宋体" w:cs="宋体"/>
          <w:sz w:val="24"/>
        </w:rPr>
      </w:pPr>
    </w:p>
    <w:p w:rsidR="00BC44E7" w14:paraId="7596F0E7" w14:textId="77777777">
      <w:pPr>
        <w:widowControl/>
        <w:ind w:firstLine="480"/>
        <w:rPr>
          <w:rFonts w:ascii="宋体" w:hAnsi="宋体" w:cs="宋体"/>
          <w:sz w:val="24"/>
        </w:rPr>
      </w:pPr>
    </w:p>
    <w:p w:rsidR="00BC44E7" w14:paraId="3AA4B7A4" w14:textId="77777777">
      <w:pPr>
        <w:widowControl/>
        <w:ind w:firstLine="480"/>
        <w:rPr>
          <w:rFonts w:ascii="宋体" w:hAnsi="宋体" w:cs="宋体"/>
          <w:sz w:val="24"/>
        </w:rPr>
      </w:pPr>
    </w:p>
    <w:p w:rsidR="00BC44E7" w14:paraId="5C25F3CE" w14:textId="77777777">
      <w:pPr>
        <w:widowControl/>
        <w:ind w:firstLine="480"/>
        <w:rPr>
          <w:rFonts w:ascii="宋体" w:hAnsi="宋体" w:cs="宋体"/>
          <w:sz w:val="24"/>
        </w:rPr>
      </w:pPr>
    </w:p>
    <w:p w:rsidR="00BC44E7" w14:paraId="37070EE3" w14:textId="77777777">
      <w:pPr>
        <w:widowControl/>
        <w:ind w:firstLine="480"/>
        <w:rPr>
          <w:rFonts w:ascii="宋体" w:hAnsi="宋体" w:cs="宋体"/>
          <w:sz w:val="24"/>
        </w:rPr>
      </w:pPr>
    </w:p>
    <w:p w:rsidR="00BC44E7" w14:paraId="24D2E745" w14:textId="77777777">
      <w:pPr>
        <w:widowControl/>
        <w:ind w:firstLine="480"/>
        <w:rPr>
          <w:rFonts w:ascii="宋体" w:hAnsi="宋体" w:cs="宋体"/>
          <w:sz w:val="24"/>
        </w:rPr>
      </w:pPr>
    </w:p>
    <w:p w:rsidR="00BC44E7" w14:paraId="49FEFC83" w14:textId="77777777">
      <w:pPr>
        <w:widowControl/>
        <w:ind w:firstLine="480"/>
        <w:rPr>
          <w:rFonts w:ascii="宋体" w:hAnsi="宋体" w:cs="宋体"/>
          <w:sz w:val="24"/>
        </w:rPr>
      </w:pPr>
    </w:p>
    <w:p w:rsidR="00BC44E7" w14:paraId="5629FB24" w14:textId="77777777">
      <w:pPr>
        <w:widowControl/>
        <w:ind w:firstLine="480"/>
        <w:rPr>
          <w:rFonts w:ascii="宋体" w:hAnsi="宋体" w:cs="宋体"/>
          <w:sz w:val="24"/>
        </w:rPr>
      </w:pPr>
    </w:p>
    <w:p w:rsidR="00BC44E7" w14:paraId="23946DD8" w14:textId="77777777">
      <w:pPr>
        <w:widowControl/>
        <w:ind w:firstLine="480"/>
        <w:rPr>
          <w:rFonts w:ascii="宋体" w:hAnsi="宋体" w:cs="宋体"/>
          <w:sz w:val="24"/>
        </w:rPr>
      </w:pPr>
    </w:p>
    <w:p w:rsidR="00BC44E7" w14:paraId="1046C22D" w14:textId="77777777">
      <w:pPr>
        <w:widowControl/>
        <w:ind w:firstLine="480"/>
        <w:rPr>
          <w:rFonts w:ascii="宋体" w:hAnsi="宋体" w:cs="宋体"/>
          <w:sz w:val="24"/>
          <w:lang w:eastAsia="zh-CN"/>
        </w:rPr>
      </w:pPr>
      <w:r>
        <w:rPr>
          <w:rFonts w:ascii="宋体" w:hAnsi="宋体" w:cs="宋体"/>
          <w:sz w:val="24"/>
          <w:highlight w:val="white"/>
          <w:lang w:eastAsia="zh-CN"/>
        </w:rPr>
        <w:t>鉴于易方达基金管理有限公司系一家依照中国法律合法成立并有效存续的有限责任公司，按照相关法律法规的规定具备担任基金管理人的资格和能力，拟募集发行</w:t>
      </w:r>
      <w:r>
        <w:rPr>
          <w:rFonts w:ascii="宋体" w:hAnsi="宋体" w:cs="宋体"/>
          <w:sz w:val="24"/>
          <w:lang w:eastAsia="zh-CN"/>
        </w:rPr>
        <w:t>易方达如意安裕3个月持有期混合型基金中基金（FOF）</w:t>
      </w:r>
      <w:r>
        <w:rPr>
          <w:rFonts w:ascii="宋体" w:hAnsi="宋体" w:cs="宋体"/>
          <w:sz w:val="24"/>
          <w:highlight w:val="white"/>
          <w:lang w:eastAsia="zh-CN"/>
        </w:rPr>
        <w:t>；</w:t>
      </w:r>
    </w:p>
    <w:p w:rsidR="00BC44E7" w14:paraId="0593EF80" w14:textId="77777777">
      <w:pPr>
        <w:widowControl/>
        <w:snapToGrid w:val="0"/>
        <w:ind w:firstLine="480"/>
        <w:rPr>
          <w:rFonts w:ascii="宋体" w:hAnsi="宋体" w:cs="宋体"/>
          <w:sz w:val="24"/>
          <w:lang w:eastAsia="zh-CN"/>
        </w:rPr>
      </w:pPr>
      <w:r>
        <w:rPr>
          <w:rFonts w:ascii="宋体" w:hAnsi="宋体" w:cs="宋体" w:hint="eastAsia"/>
          <w:sz w:val="24"/>
          <w:highlight w:val="white"/>
          <w:lang w:eastAsia="zh-CN"/>
        </w:rPr>
        <w:t>鉴于中国建设银行股份有限公司系一家依照中国法律合法成立并有效存续的银行，按照相关法律法规的规定具备担任基金托管人的资格和能力；</w:t>
      </w:r>
    </w:p>
    <w:p w:rsidR="00BC44E7" w14:paraId="1757A8FD" w14:textId="77777777">
      <w:pPr>
        <w:widowControl/>
        <w:snapToGrid w:val="0"/>
        <w:ind w:firstLine="480"/>
        <w:rPr>
          <w:rFonts w:ascii="宋体" w:hAnsi="宋体" w:cs="宋体"/>
          <w:sz w:val="24"/>
          <w:lang w:eastAsia="zh-CN"/>
        </w:rPr>
      </w:pPr>
      <w:r>
        <w:rPr>
          <w:rFonts w:ascii="宋体" w:hAnsi="宋体" w:cs="宋体" w:hint="eastAsia"/>
          <w:sz w:val="24"/>
          <w:highlight w:val="white"/>
          <w:lang w:eastAsia="zh-CN"/>
        </w:rPr>
        <w:t>鉴于易方达基金管理有限公司拟担任</w:t>
      </w:r>
      <w:r>
        <w:rPr>
          <w:rFonts w:ascii="宋体" w:hAnsi="宋体" w:cs="宋体" w:hint="eastAsia"/>
          <w:sz w:val="24"/>
          <w:lang w:eastAsia="zh-CN"/>
        </w:rPr>
        <w:t>易方达如意安裕3个月持有期混合型基金中基金（FOF）</w:t>
      </w:r>
      <w:r>
        <w:rPr>
          <w:rFonts w:ascii="宋体" w:hAnsi="宋体" w:cs="宋体" w:hint="eastAsia"/>
          <w:sz w:val="24"/>
          <w:highlight w:val="white"/>
          <w:lang w:eastAsia="zh-CN"/>
        </w:rPr>
        <w:t>的基金管理人，中国建设银行股份有限公司拟担任</w:t>
      </w:r>
      <w:r>
        <w:rPr>
          <w:rFonts w:ascii="宋体" w:hAnsi="宋体" w:cs="宋体" w:hint="eastAsia"/>
          <w:sz w:val="24"/>
          <w:lang w:eastAsia="zh-CN"/>
        </w:rPr>
        <w:t>易方达如意安裕3个月持有期混合型基金中基金（FOF）</w:t>
      </w:r>
      <w:r>
        <w:rPr>
          <w:rFonts w:ascii="宋体" w:hAnsi="宋体" w:cs="宋体" w:hint="eastAsia"/>
          <w:sz w:val="24"/>
          <w:highlight w:val="white"/>
          <w:lang w:eastAsia="zh-CN"/>
        </w:rPr>
        <w:t>的基金托管人；</w:t>
      </w:r>
    </w:p>
    <w:p w:rsidR="00BC44E7" w14:paraId="18FAC130" w14:textId="77777777">
      <w:pPr>
        <w:widowControl/>
        <w:snapToGrid w:val="0"/>
        <w:ind w:firstLine="480"/>
        <w:rPr>
          <w:rFonts w:ascii="宋体" w:hAnsi="宋体" w:cs="宋体"/>
          <w:sz w:val="24"/>
          <w:lang w:eastAsia="zh-CN"/>
        </w:rPr>
      </w:pPr>
      <w:r>
        <w:rPr>
          <w:rFonts w:ascii="宋体" w:hAnsi="宋体" w:cs="宋体" w:hint="eastAsia"/>
          <w:sz w:val="24"/>
          <w:highlight w:val="white"/>
          <w:lang w:eastAsia="zh-CN"/>
        </w:rPr>
        <w:t>为明确</w:t>
      </w:r>
      <w:r>
        <w:rPr>
          <w:rFonts w:ascii="宋体" w:hAnsi="宋体" w:cs="宋体" w:hint="eastAsia"/>
          <w:sz w:val="24"/>
          <w:lang w:eastAsia="zh-CN"/>
        </w:rPr>
        <w:t>易方达如意安裕3个月持有期混合型基金中基金（FOF）</w:t>
      </w:r>
      <w:r>
        <w:rPr>
          <w:rFonts w:ascii="宋体" w:hAnsi="宋体" w:cs="宋体" w:hint="eastAsia"/>
          <w:sz w:val="24"/>
          <w:highlight w:val="white"/>
          <w:lang w:eastAsia="zh-CN"/>
        </w:rPr>
        <w:t>的基金管理人和基金托管人之间的权利义务关系，特制订本托管协议；</w:t>
      </w:r>
    </w:p>
    <w:p w:rsidR="00BC44E7" w14:paraId="66D208A8" w14:textId="77777777">
      <w:pPr>
        <w:widowControl/>
        <w:snapToGrid w:val="0"/>
        <w:ind w:firstLine="480"/>
        <w:rPr>
          <w:rFonts w:ascii="宋体" w:hAnsi="宋体" w:cs="宋体"/>
          <w:sz w:val="24"/>
          <w:lang w:eastAsia="zh-CN"/>
        </w:rPr>
      </w:pPr>
      <w:r>
        <w:rPr>
          <w:rFonts w:ascii="宋体" w:hAnsi="宋体" w:cs="宋体" w:hint="eastAsia"/>
          <w:sz w:val="24"/>
          <w:highlight w:val="white"/>
          <w:lang w:val="en-GB" w:eastAsia="zh-CN"/>
        </w:rPr>
        <w:t>除非另有约定，《</w:t>
      </w:r>
      <w:r>
        <w:rPr>
          <w:rFonts w:ascii="宋体" w:hAnsi="宋体" w:cs="宋体" w:hint="eastAsia"/>
          <w:sz w:val="24"/>
          <w:lang w:eastAsia="zh-CN"/>
        </w:rPr>
        <w:t>易方达如意安裕3个月持有期混合型基金中基金（FOF）</w:t>
      </w:r>
      <w:r>
        <w:rPr>
          <w:rFonts w:ascii="宋体" w:hAnsi="宋体" w:cs="宋体" w:hint="eastAsia"/>
          <w:sz w:val="24"/>
          <w:highlight w:val="white"/>
          <w:lang w:val="en-GB" w:eastAsia="zh-CN"/>
        </w:rPr>
        <w:t>基金合同》(以下简称“基金合同”)中定义的术语在用于本托管协议时应具有相同的含义；若有抵触应以《基金合同》为准，并依其</w:t>
      </w:r>
      <w:r>
        <w:rPr>
          <w:rFonts w:ascii="宋体" w:hAnsi="宋体" w:cs="宋体" w:hint="eastAsia"/>
          <w:sz w:val="24"/>
          <w:highlight w:val="white"/>
          <w:lang w:eastAsia="zh-CN"/>
        </w:rPr>
        <w:t>条款</w:t>
      </w:r>
      <w:r>
        <w:rPr>
          <w:rFonts w:ascii="宋体" w:hAnsi="宋体" w:cs="宋体" w:hint="eastAsia"/>
          <w:sz w:val="24"/>
          <w:highlight w:val="white"/>
          <w:lang w:val="en-GB" w:eastAsia="zh-CN"/>
        </w:rPr>
        <w:t>解释。</w:t>
      </w:r>
    </w:p>
    <w:p w:rsidR="00BC44E7" w14:paraId="22A2F40B" w14:textId="77777777">
      <w:pPr>
        <w:rPr>
          <w:rFonts w:ascii="宋体" w:hAnsi="宋体" w:cs="宋体"/>
          <w:sz w:val="24"/>
          <w:lang w:eastAsia="zh-CN"/>
        </w:rPr>
      </w:pPr>
    </w:p>
    <w:p w:rsidR="00BC44E7" w14:paraId="607909C2" w14:textId="77777777">
      <w:pPr>
        <w:pStyle w:val="21"/>
        <w:jc w:val="center"/>
        <w:rPr>
          <w:rFonts w:ascii="宋体" w:eastAsia="宋体" w:hAnsi="宋体" w:cs="宋体"/>
          <w:lang w:eastAsia="zh-CN"/>
        </w:rPr>
      </w:pPr>
      <w:bookmarkStart w:id="1" w:name="_Toc68875903"/>
      <w:r>
        <w:rPr>
          <w:rFonts w:ascii="宋体" w:eastAsia="宋体" w:hAnsi="宋体" w:cs="宋体" w:hint="eastAsia"/>
          <w:highlight w:val="white"/>
          <w:lang w:eastAsia="zh-CN"/>
        </w:rPr>
        <w:t>一、基金托管协议当事人</w:t>
      </w:r>
      <w:bookmarkEnd w:id="1"/>
    </w:p>
    <w:p w:rsidR="00BC44E7" w14:paraId="1E78476C"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（一）基金管理人</w:t>
      </w:r>
    </w:p>
    <w:p w:rsidR="00BC44E7" w14:paraId="0758BBF3" w14:textId="77777777">
      <w:pPr>
        <w:snapToGrid w:val="0"/>
        <w:ind w:firstLine="480"/>
        <w:rPr>
          <w:rFonts w:ascii="宋体" w:hAnsi="宋体" w:cs="宋体"/>
          <w:sz w:val="24"/>
          <w:lang w:eastAsia="zh-CN"/>
        </w:rPr>
      </w:pPr>
      <w:r>
        <w:rPr>
          <w:rFonts w:ascii="宋体" w:hAnsi="宋体" w:cs="宋体" w:hint="eastAsia"/>
          <w:sz w:val="24"/>
          <w:highlight w:val="white"/>
          <w:lang w:eastAsia="zh-CN"/>
        </w:rPr>
        <w:t>名称：易方达基金管理有限公司</w:t>
      </w:r>
    </w:p>
    <w:p w:rsidR="00BC44E7" w14:paraId="722F1837" w14:textId="77777777">
      <w:pPr>
        <w:snapToGrid w:val="0"/>
        <w:ind w:firstLine="480"/>
        <w:rPr>
          <w:rFonts w:ascii="宋体" w:hAnsi="宋体" w:cs="宋体"/>
          <w:sz w:val="24"/>
          <w:lang w:eastAsia="zh-CN"/>
        </w:rPr>
      </w:pPr>
      <w:r>
        <w:rPr>
          <w:rFonts w:ascii="宋体" w:hAnsi="宋体" w:cs="宋体" w:hint="eastAsia"/>
          <w:sz w:val="24"/>
          <w:highlight w:val="white"/>
          <w:lang w:eastAsia="zh-CN"/>
        </w:rPr>
        <w:t>住所：广东省珠海市横琴新区荣粤道188号6层</w:t>
      </w:r>
    </w:p>
    <w:p w:rsidR="00BC44E7" w14:paraId="13C0E600" w14:textId="77777777">
      <w:pPr>
        <w:snapToGrid w:val="0"/>
        <w:ind w:firstLine="480"/>
        <w:rPr>
          <w:rFonts w:ascii="宋体" w:hAnsi="宋体" w:cs="宋体"/>
          <w:sz w:val="24"/>
          <w:lang w:eastAsia="zh-CN"/>
        </w:rPr>
      </w:pPr>
      <w:r>
        <w:rPr>
          <w:rFonts w:ascii="宋体" w:hAnsi="宋体" w:cs="宋体" w:hint="eastAsia"/>
          <w:sz w:val="24"/>
          <w:highlight w:val="white"/>
          <w:lang w:eastAsia="zh-CN"/>
        </w:rPr>
        <w:t xml:space="preserve">法定代表人：吴欣荣 </w:t>
      </w:r>
    </w:p>
    <w:p w:rsidR="00BC44E7" w14:paraId="6A4456C1" w14:textId="77777777">
      <w:pPr>
        <w:snapToGrid w:val="0"/>
        <w:ind w:firstLine="480"/>
        <w:rPr>
          <w:rFonts w:ascii="宋体" w:hAnsi="宋体" w:cs="宋体"/>
          <w:sz w:val="24"/>
          <w:lang w:eastAsia="zh-CN"/>
        </w:rPr>
      </w:pPr>
      <w:r>
        <w:rPr>
          <w:rFonts w:ascii="宋体" w:hAnsi="宋体" w:cs="宋体" w:hint="eastAsia"/>
          <w:sz w:val="24"/>
          <w:highlight w:val="white"/>
          <w:lang w:eastAsia="zh-CN"/>
        </w:rPr>
        <w:t>设立日期：2001年4月17日</w:t>
      </w:r>
    </w:p>
    <w:p w:rsidR="00BC44E7" w14:paraId="5AC11243" w14:textId="77777777">
      <w:pPr>
        <w:snapToGrid w:val="0"/>
        <w:ind w:firstLine="480"/>
        <w:rPr>
          <w:rFonts w:ascii="宋体" w:hAnsi="宋体" w:cs="宋体"/>
          <w:sz w:val="24"/>
          <w:lang w:eastAsia="zh-CN"/>
        </w:rPr>
      </w:pPr>
      <w:r>
        <w:rPr>
          <w:rFonts w:ascii="宋体" w:hAnsi="宋体" w:cs="宋体" w:hint="eastAsia"/>
          <w:sz w:val="24"/>
          <w:highlight w:val="white"/>
          <w:lang w:eastAsia="zh-CN"/>
        </w:rPr>
        <w:t>批准设立机关及批准设立文号：中国证券监督管理委员会，证监基金字[2001]4号</w:t>
      </w:r>
    </w:p>
    <w:p w:rsidR="00BC44E7" w14:paraId="3BE6809D" w14:textId="77777777">
      <w:pPr>
        <w:snapToGrid w:val="0"/>
        <w:ind w:firstLine="480"/>
        <w:rPr>
          <w:rFonts w:ascii="宋体" w:hAnsi="宋体" w:cs="宋体"/>
          <w:sz w:val="24"/>
          <w:lang w:eastAsia="zh-CN"/>
        </w:rPr>
      </w:pPr>
      <w:r>
        <w:rPr>
          <w:rFonts w:ascii="宋体" w:hAnsi="宋体" w:cs="宋体" w:hint="eastAsia"/>
          <w:sz w:val="24"/>
          <w:highlight w:val="white"/>
          <w:lang w:eastAsia="zh-CN"/>
        </w:rPr>
        <w:t>组织形式：有限责任公司</w:t>
      </w:r>
    </w:p>
    <w:p w:rsidR="00BC44E7" w14:paraId="14E0CC92" w14:textId="77777777">
      <w:pPr>
        <w:snapToGrid w:val="0"/>
        <w:ind w:firstLine="480"/>
        <w:rPr>
          <w:rFonts w:ascii="宋体" w:hAnsi="宋体" w:cs="宋体"/>
          <w:sz w:val="24"/>
          <w:lang w:eastAsia="zh-CN"/>
        </w:rPr>
      </w:pPr>
      <w:r>
        <w:rPr>
          <w:rFonts w:ascii="宋体" w:hAnsi="宋体" w:cs="宋体" w:hint="eastAsia"/>
          <w:sz w:val="24"/>
          <w:highlight w:val="white"/>
          <w:lang w:eastAsia="zh-CN"/>
        </w:rPr>
        <w:t>注册资本：13,244.2万元人民币</w:t>
      </w:r>
    </w:p>
    <w:p w:rsidR="00BC44E7" w14:paraId="0F14C619" w14:textId="77777777">
      <w:pPr>
        <w:snapToGrid w:val="0"/>
        <w:ind w:firstLine="480"/>
        <w:rPr>
          <w:rFonts w:ascii="宋体" w:hAnsi="宋体" w:cs="宋体"/>
          <w:sz w:val="24"/>
          <w:lang w:eastAsia="zh-CN"/>
        </w:rPr>
      </w:pPr>
      <w:r>
        <w:rPr>
          <w:rFonts w:ascii="宋体" w:hAnsi="宋体" w:cs="宋体" w:hint="eastAsia"/>
          <w:sz w:val="24"/>
          <w:highlight w:val="white"/>
          <w:lang w:eastAsia="zh-CN"/>
        </w:rPr>
        <w:t>存续期限：持续经营</w:t>
      </w:r>
    </w:p>
    <w:p w:rsidR="00BC44E7" w14:paraId="2B006461" w14:textId="77777777">
      <w:pPr>
        <w:snapToGrid w:val="0"/>
        <w:ind w:firstLine="480"/>
        <w:rPr>
          <w:rFonts w:ascii="宋体" w:hAnsi="宋体" w:cs="宋体"/>
          <w:sz w:val="24"/>
          <w:lang w:eastAsia="zh-CN"/>
        </w:rPr>
      </w:pPr>
      <w:r>
        <w:rPr>
          <w:rFonts w:ascii="宋体" w:hAnsi="宋体" w:cs="宋体" w:hint="eastAsia"/>
          <w:sz w:val="24"/>
          <w:highlight w:val="white"/>
          <w:lang w:eastAsia="zh-CN"/>
        </w:rPr>
        <w:t>联系电话：4008818088</w:t>
      </w:r>
    </w:p>
    <w:p w:rsidR="00BC44E7" w14:paraId="4917B906" w14:textId="77777777">
      <w:pPr>
        <w:snapToGrid w:val="0"/>
        <w:ind w:firstLine="480"/>
        <w:rPr>
          <w:rFonts w:ascii="宋体" w:hAnsi="宋体" w:cs="宋体"/>
          <w:sz w:val="24"/>
          <w:lang w:eastAsia="zh-CN"/>
        </w:rPr>
      </w:pPr>
      <w:r>
        <w:rPr>
          <w:rFonts w:ascii="宋体" w:hAnsi="宋体" w:cs="宋体" w:hint="eastAsia"/>
          <w:sz w:val="24"/>
          <w:highlight w:val="white"/>
          <w:lang w:eastAsia="zh-CN"/>
        </w:rPr>
        <w:t>（二）基金托管人</w:t>
      </w:r>
    </w:p>
    <w:p w:rsidR="00BC44E7" w14:paraId="2E220894" w14:textId="77777777">
      <w:pPr>
        <w:snapToGrid w:val="0"/>
        <w:ind w:firstLine="480"/>
        <w:rPr>
          <w:rFonts w:ascii="宋体" w:hAnsi="宋体" w:cs="宋体"/>
          <w:sz w:val="24"/>
          <w:lang w:eastAsia="zh-CN"/>
        </w:rPr>
      </w:pPr>
      <w:r>
        <w:rPr>
          <w:rFonts w:ascii="宋体" w:hAnsi="宋体" w:cs="宋体" w:hint="eastAsia"/>
          <w:sz w:val="24"/>
          <w:highlight w:val="white"/>
          <w:lang w:eastAsia="zh-CN"/>
        </w:rPr>
        <w:t>名称：中国建设银行股份有限公司(简称：中国建设银行)</w:t>
      </w:r>
    </w:p>
    <w:p w:rsidR="00BC44E7" w14:paraId="6AAFD0BB" w14:textId="77777777">
      <w:pPr>
        <w:snapToGrid w:val="0"/>
        <w:ind w:firstLine="480"/>
        <w:rPr>
          <w:rFonts w:ascii="宋体" w:hAnsi="宋体" w:cs="宋体"/>
          <w:sz w:val="24"/>
          <w:lang w:eastAsia="zh-CN"/>
        </w:rPr>
      </w:pPr>
      <w:r>
        <w:rPr>
          <w:rFonts w:ascii="宋体" w:hAnsi="宋体" w:cs="宋体" w:hint="eastAsia"/>
          <w:sz w:val="24"/>
          <w:highlight w:val="white"/>
          <w:lang w:eastAsia="zh-CN"/>
        </w:rPr>
        <w:t>住所：北京市西城区金融大街25号</w:t>
      </w:r>
    </w:p>
    <w:p w:rsidR="00BC44E7" w14:paraId="75E79442" w14:textId="77777777">
      <w:pPr>
        <w:snapToGrid w:val="0"/>
        <w:ind w:firstLine="480"/>
        <w:rPr>
          <w:rFonts w:ascii="宋体" w:hAnsi="宋体" w:cs="宋体"/>
          <w:sz w:val="24"/>
          <w:lang w:eastAsia="zh-CN"/>
        </w:rPr>
      </w:pPr>
      <w:r>
        <w:rPr>
          <w:rFonts w:ascii="宋体" w:hAnsi="宋体" w:cs="宋体" w:hint="eastAsia"/>
          <w:sz w:val="24"/>
          <w:highlight w:val="white"/>
          <w:lang w:eastAsia="zh-CN"/>
        </w:rPr>
        <w:t>办公地址：北京市西城区闹市口大街1号院1号楼</w:t>
      </w:r>
    </w:p>
    <w:p w:rsidR="00BC44E7" w14:paraId="502FB19F" w14:textId="77777777">
      <w:pPr>
        <w:snapToGrid w:val="0"/>
        <w:ind w:firstLine="480"/>
        <w:rPr>
          <w:rFonts w:ascii="宋体" w:hAnsi="宋体" w:cs="宋体"/>
          <w:sz w:val="24"/>
          <w:lang w:eastAsia="zh-CN"/>
        </w:rPr>
      </w:pPr>
      <w:r>
        <w:rPr>
          <w:rFonts w:ascii="宋体" w:hAnsi="宋体" w:cs="宋体" w:hint="eastAsia"/>
          <w:sz w:val="24"/>
          <w:highlight w:val="white"/>
          <w:lang w:eastAsia="zh-CN"/>
        </w:rPr>
        <w:t>邮政编码：100033</w:t>
      </w:r>
    </w:p>
    <w:p w:rsidR="00BC44E7" w14:paraId="50BDEE29" w14:textId="77777777">
      <w:pPr>
        <w:snapToGrid w:val="0"/>
        <w:ind w:firstLine="480"/>
        <w:rPr>
          <w:rFonts w:ascii="宋体" w:hAnsi="宋体" w:cs="宋体"/>
          <w:sz w:val="24"/>
          <w:lang w:eastAsia="zh-CN"/>
        </w:rPr>
      </w:pPr>
      <w:r>
        <w:rPr>
          <w:rFonts w:ascii="宋体" w:hAnsi="宋体" w:cs="宋体" w:hint="eastAsia"/>
          <w:sz w:val="24"/>
          <w:highlight w:val="white"/>
          <w:lang w:eastAsia="zh-CN"/>
        </w:rPr>
        <w:t>法定代表人：张金良</w:t>
      </w:r>
    </w:p>
    <w:p w:rsidR="00BC44E7" w14:paraId="21668D16" w14:textId="77777777">
      <w:pPr>
        <w:snapToGrid w:val="0"/>
        <w:ind w:firstLine="480"/>
        <w:rPr>
          <w:rFonts w:ascii="宋体" w:hAnsi="宋体" w:cs="宋体"/>
          <w:sz w:val="24"/>
          <w:lang w:eastAsia="zh-CN"/>
        </w:rPr>
      </w:pPr>
      <w:r>
        <w:rPr>
          <w:rFonts w:ascii="宋体" w:hAnsi="宋体" w:cs="宋体" w:hint="eastAsia"/>
          <w:sz w:val="24"/>
          <w:highlight w:val="white"/>
          <w:lang w:eastAsia="zh-CN"/>
        </w:rPr>
        <w:t>成立日期：2004年09月17日</w:t>
      </w:r>
    </w:p>
    <w:p w:rsidR="00BC44E7" w14:paraId="763F57EF" w14:textId="77777777">
      <w:pPr>
        <w:snapToGrid w:val="0"/>
        <w:ind w:firstLine="480"/>
        <w:rPr>
          <w:rFonts w:ascii="宋体" w:hAnsi="宋体" w:cs="宋体"/>
          <w:sz w:val="24"/>
          <w:lang w:eastAsia="zh-CN"/>
        </w:rPr>
      </w:pPr>
      <w:r>
        <w:rPr>
          <w:rFonts w:ascii="宋体" w:hAnsi="宋体" w:cs="宋体" w:hint="eastAsia"/>
          <w:sz w:val="24"/>
          <w:highlight w:val="white"/>
          <w:lang w:eastAsia="zh-CN"/>
        </w:rPr>
        <w:t>基金托管业务批准文号：中国证监会证监基字[1998</w:t>
      </w:r>
      <w:bookmarkStart w:id="2" w:name="OLE_LINK3"/>
      <w:r>
        <w:rPr>
          <w:rFonts w:ascii="宋体" w:hAnsi="宋体" w:cs="宋体" w:hint="eastAsia"/>
          <w:sz w:val="24"/>
          <w:highlight w:val="white"/>
          <w:lang w:eastAsia="zh-CN"/>
        </w:rPr>
        <w:t>]</w:t>
      </w:r>
      <w:bookmarkEnd w:id="2"/>
      <w:r>
        <w:rPr>
          <w:rFonts w:ascii="宋体" w:hAnsi="宋体" w:cs="宋体" w:hint="eastAsia"/>
          <w:sz w:val="24"/>
          <w:highlight w:val="white"/>
          <w:lang w:eastAsia="zh-CN"/>
        </w:rPr>
        <w:t>12号</w:t>
      </w:r>
    </w:p>
    <w:p w:rsidR="00BC44E7" w14:paraId="771D6EF2" w14:textId="77777777">
      <w:pPr>
        <w:snapToGrid w:val="0"/>
        <w:ind w:firstLine="480"/>
        <w:rPr>
          <w:rFonts w:ascii="宋体" w:hAnsi="宋体" w:cs="宋体"/>
          <w:sz w:val="24"/>
          <w:lang w:eastAsia="zh-CN"/>
        </w:rPr>
      </w:pPr>
      <w:r>
        <w:rPr>
          <w:rFonts w:ascii="宋体" w:hAnsi="宋体" w:cs="宋体" w:hint="eastAsia"/>
          <w:sz w:val="24"/>
          <w:highlight w:val="white"/>
          <w:lang w:eastAsia="zh-CN"/>
        </w:rPr>
        <w:t>组织形式：股份有限公司</w:t>
      </w:r>
    </w:p>
    <w:p w:rsidR="00BC44E7" w14:paraId="3F363552" w14:textId="11DDB5C1">
      <w:pPr>
        <w:snapToGrid w:val="0"/>
        <w:ind w:firstLine="480"/>
        <w:rPr>
          <w:rFonts w:ascii="宋体" w:hAnsi="宋体" w:cs="宋体"/>
          <w:sz w:val="24"/>
          <w:lang w:eastAsia="zh-CN"/>
        </w:rPr>
      </w:pPr>
      <w:r>
        <w:rPr>
          <w:rFonts w:ascii="宋体" w:hAnsi="宋体" w:cs="宋体" w:hint="eastAsia"/>
          <w:sz w:val="24"/>
          <w:highlight w:val="white"/>
          <w:lang w:eastAsia="zh-CN"/>
        </w:rPr>
        <w:t>注册资</w:t>
      </w:r>
      <w:r>
        <w:rPr>
          <w:rFonts w:ascii="宋体" w:hAnsi="宋体" w:cs="宋体"/>
          <w:sz w:val="24"/>
          <w:highlight w:val="white"/>
          <w:lang w:eastAsia="zh-CN"/>
        </w:rPr>
        <w:t>本：</w:t>
      </w:r>
      <w:r w:rsidRPr="00191F5A" w:rsidR="00191F5A">
        <w:rPr>
          <w:rFonts w:ascii="宋体" w:hAnsi="宋体" w:cs="宋体" w:hint="eastAsia"/>
          <w:sz w:val="24"/>
          <w:lang w:eastAsia="zh-CN"/>
        </w:rPr>
        <w:t>贰仟陆佰壹拾陆亿叁拾捌万壹仟肆佰伍拾玖元整</w:t>
      </w:r>
    </w:p>
    <w:p w:rsidR="00BC44E7" w14:paraId="1DA86AED" w14:textId="77777777">
      <w:pPr>
        <w:snapToGrid w:val="0"/>
        <w:ind w:firstLine="480"/>
        <w:rPr>
          <w:rFonts w:ascii="宋体" w:hAnsi="宋体" w:cs="宋体"/>
          <w:sz w:val="24"/>
          <w:lang w:eastAsia="zh-CN"/>
        </w:rPr>
      </w:pPr>
      <w:r>
        <w:rPr>
          <w:rFonts w:ascii="宋体" w:hAnsi="宋体" w:cs="宋体" w:hint="eastAsia"/>
          <w:sz w:val="24"/>
          <w:highlight w:val="white"/>
          <w:lang w:eastAsia="zh-CN"/>
        </w:rPr>
        <w:t>存续期间：持续经营</w:t>
      </w:r>
    </w:p>
    <w:p w:rsidR="00BC44E7" w14:paraId="611ABB4C" w14:textId="77777777">
      <w:pPr>
        <w:snapToGrid w:val="0"/>
        <w:ind w:firstLine="480"/>
        <w:rPr>
          <w:rFonts w:ascii="宋体" w:hAnsi="宋体" w:cs="宋体"/>
          <w:sz w:val="24"/>
          <w:lang w:eastAsia="zh-CN"/>
        </w:rPr>
      </w:pPr>
      <w:r>
        <w:rPr>
          <w:rFonts w:ascii="宋体" w:hAnsi="宋体" w:cs="宋体" w:hint="eastAsia"/>
          <w:sz w:val="24"/>
          <w:highlight w:val="white"/>
          <w:lang w:eastAsia="zh-CN"/>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BC44E7" w14:paraId="59902B19" w14:textId="77777777">
      <w:pPr>
        <w:snapToGrid w:val="0"/>
        <w:ind w:firstLine="480"/>
        <w:rPr>
          <w:rFonts w:ascii="宋体" w:hAnsi="宋体" w:cs="宋体"/>
          <w:sz w:val="24"/>
          <w:lang w:eastAsia="zh-CN"/>
        </w:rPr>
      </w:pPr>
    </w:p>
    <w:p w:rsidR="00BC44E7" w14:paraId="0AD24BC8" w14:textId="77777777">
      <w:pPr>
        <w:pStyle w:val="21"/>
        <w:jc w:val="center"/>
        <w:rPr>
          <w:rFonts w:ascii="宋体" w:eastAsia="宋体" w:hAnsi="宋体" w:cs="宋体"/>
          <w:sz w:val="30"/>
          <w:lang w:eastAsia="zh-CN"/>
        </w:rPr>
      </w:pPr>
      <w:bookmarkStart w:id="3" w:name="_Toc68875904"/>
      <w:r>
        <w:rPr>
          <w:rFonts w:ascii="宋体" w:eastAsia="宋体" w:hAnsi="宋体" w:cs="宋体" w:hint="eastAsia"/>
          <w:sz w:val="30"/>
          <w:highlight w:val="white"/>
          <w:lang w:eastAsia="zh-CN"/>
        </w:rPr>
        <w:t>二、基金托管协议的依据、目的和原则</w:t>
      </w:r>
      <w:bookmarkEnd w:id="3"/>
    </w:p>
    <w:p w:rsidR="00BC44E7" w14:paraId="40B1E823" w14:textId="77777777">
      <w:pPr>
        <w:snapToGrid w:val="0"/>
        <w:ind w:firstLine="480"/>
        <w:rPr>
          <w:rFonts w:ascii="宋体" w:hAnsi="宋体" w:cs="宋体"/>
          <w:sz w:val="24"/>
          <w:szCs w:val="30"/>
          <w:lang w:eastAsia="zh-CN"/>
        </w:rPr>
      </w:pPr>
      <w:r>
        <w:rPr>
          <w:rFonts w:ascii="宋体" w:hAnsi="宋体" w:cs="宋体" w:hint="eastAsia"/>
          <w:sz w:val="24"/>
          <w:highlight w:val="white"/>
          <w:lang w:eastAsia="zh-CN"/>
        </w:rPr>
        <w:t>（一）订立托管协议的依据</w:t>
      </w:r>
    </w:p>
    <w:p w:rsidR="00BC44E7" w14:paraId="04234E33" w14:textId="77777777">
      <w:pPr>
        <w:snapToGrid w:val="0"/>
        <w:ind w:firstLine="480"/>
        <w:rPr>
          <w:rFonts w:ascii="宋体" w:hAnsi="宋体" w:cs="宋体"/>
          <w:sz w:val="24"/>
          <w:lang w:eastAsia="zh-CN"/>
        </w:rPr>
      </w:pPr>
      <w:r>
        <w:rPr>
          <w:rFonts w:ascii="宋体" w:hAnsi="宋体" w:cs="宋体" w:hint="eastAsia"/>
          <w:sz w:val="24"/>
          <w:highlight w:val="white"/>
          <w:lang w:eastAsia="zh-CN"/>
        </w:rPr>
        <w:t>本协议依据《中华人民共和国证券投资基金法》(以下简称“《基金法》”)等有关法律法规、《基金合同》及其他有关规定制订。</w:t>
      </w:r>
    </w:p>
    <w:p w:rsidR="00BC44E7" w14:paraId="597BB8F1" w14:textId="77777777">
      <w:pPr>
        <w:snapToGrid w:val="0"/>
        <w:ind w:firstLine="480"/>
        <w:rPr>
          <w:rFonts w:ascii="宋体" w:hAnsi="宋体" w:cs="宋体"/>
          <w:sz w:val="24"/>
          <w:lang w:eastAsia="zh-CN"/>
        </w:rPr>
      </w:pPr>
      <w:r>
        <w:rPr>
          <w:rFonts w:ascii="宋体" w:hAnsi="宋体" w:cs="宋体" w:hint="eastAsia"/>
          <w:sz w:val="24"/>
          <w:highlight w:val="white"/>
          <w:lang w:eastAsia="zh-CN"/>
        </w:rPr>
        <w:t>（二）订立托管协议的目的</w:t>
      </w:r>
    </w:p>
    <w:p w:rsidR="00BC44E7" w14:paraId="7A72DB26" w14:textId="77777777">
      <w:pPr>
        <w:snapToGrid w:val="0"/>
        <w:ind w:firstLine="480"/>
        <w:rPr>
          <w:rFonts w:ascii="宋体" w:hAnsi="宋体" w:cs="宋体"/>
          <w:sz w:val="24"/>
          <w:szCs w:val="30"/>
          <w:lang w:eastAsia="zh-CN"/>
        </w:rPr>
      </w:pPr>
      <w:r>
        <w:rPr>
          <w:rFonts w:ascii="宋体" w:hAnsi="宋体" w:cs="宋体" w:hint="eastAsia"/>
          <w:sz w:val="24"/>
          <w:highlight w:val="white"/>
          <w:lang w:eastAsia="zh-CN"/>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BC44E7" w14:paraId="234E4CB3" w14:textId="77777777">
      <w:pPr>
        <w:snapToGrid w:val="0"/>
        <w:ind w:firstLine="480"/>
        <w:rPr>
          <w:rFonts w:ascii="宋体" w:hAnsi="宋体" w:cs="宋体"/>
          <w:sz w:val="24"/>
          <w:lang w:eastAsia="zh-CN"/>
        </w:rPr>
      </w:pPr>
      <w:r>
        <w:rPr>
          <w:rFonts w:ascii="宋体" w:hAnsi="宋体" w:cs="宋体" w:hint="eastAsia"/>
          <w:sz w:val="24"/>
          <w:highlight w:val="white"/>
          <w:lang w:eastAsia="zh-CN"/>
        </w:rPr>
        <w:t>（三）订立托管协议的原则</w:t>
      </w:r>
    </w:p>
    <w:p w:rsidR="00BC44E7" w14:paraId="0DE1274D" w14:textId="77777777">
      <w:pPr>
        <w:snapToGrid w:val="0"/>
        <w:ind w:firstLine="480"/>
        <w:rPr>
          <w:rFonts w:ascii="宋体" w:hAnsi="宋体" w:cs="宋体"/>
          <w:sz w:val="24"/>
          <w:lang w:eastAsia="zh-CN"/>
        </w:rPr>
      </w:pPr>
      <w:r>
        <w:rPr>
          <w:rFonts w:ascii="宋体" w:hAnsi="宋体" w:cs="宋体" w:hint="eastAsia"/>
          <w:sz w:val="24"/>
          <w:highlight w:val="white"/>
          <w:lang w:eastAsia="zh-CN"/>
        </w:rPr>
        <w:t>基金管理人和基金托管人本着平等自愿、诚实信用、充分保护基金份额持有人合法权益的原则，经协商一致，签订本协议。</w:t>
      </w:r>
    </w:p>
    <w:p w:rsidR="00BC44E7" w14:paraId="11AD7843" w14:textId="77777777">
      <w:pPr>
        <w:rPr>
          <w:rFonts w:ascii="宋体" w:hAnsi="宋体" w:cs="宋体"/>
          <w:sz w:val="24"/>
          <w:lang w:eastAsia="zh-CN"/>
        </w:rPr>
      </w:pPr>
    </w:p>
    <w:p w:rsidR="00BC44E7" w14:paraId="46EB5A29" w14:textId="77777777">
      <w:pPr>
        <w:pStyle w:val="21"/>
        <w:jc w:val="center"/>
        <w:rPr>
          <w:rFonts w:ascii="宋体" w:eastAsia="宋体" w:hAnsi="宋体" w:cs="宋体"/>
          <w:sz w:val="30"/>
          <w:szCs w:val="24"/>
          <w:lang w:eastAsia="zh-CN"/>
        </w:rPr>
      </w:pPr>
      <w:bookmarkStart w:id="4" w:name="_Toc68875905"/>
      <w:r>
        <w:rPr>
          <w:rFonts w:ascii="宋体" w:eastAsia="宋体" w:hAnsi="宋体" w:cs="宋体" w:hint="eastAsia"/>
          <w:sz w:val="30"/>
          <w:highlight w:val="white"/>
          <w:lang w:eastAsia="zh-CN"/>
        </w:rPr>
        <w:t>三、基金托管人对基金管理人的业务监督和核查</w:t>
      </w:r>
      <w:bookmarkEnd w:id="4"/>
    </w:p>
    <w:p w:rsidR="00BC44E7" w14:paraId="4DEEBD19" w14:textId="77777777">
      <w:pPr>
        <w:snapToGrid w:val="0"/>
        <w:ind w:firstLine="480"/>
        <w:rPr>
          <w:rFonts w:ascii="宋体" w:hAnsi="宋体" w:cs="宋体"/>
          <w:sz w:val="24"/>
          <w:lang w:eastAsia="zh-CN"/>
        </w:rPr>
      </w:pPr>
      <w:r>
        <w:rPr>
          <w:rFonts w:ascii="宋体" w:hAnsi="宋体" w:cs="宋体" w:hint="eastAsia"/>
          <w:sz w:val="24"/>
          <w:highlight w:val="white"/>
          <w:lang w:eastAsia="zh-CN"/>
        </w:rPr>
        <w:t>（一）基金托管人根据有关</w:t>
      </w:r>
      <w:r>
        <w:rPr>
          <w:rFonts w:ascii="宋体" w:hAnsi="宋体" w:cs="宋体"/>
          <w:sz w:val="24"/>
          <w:highlight w:val="white"/>
          <w:lang w:eastAsia="zh-CN"/>
        </w:rPr>
        <w:t>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w:t>
      </w:r>
      <w:r>
        <w:rPr>
          <w:rFonts w:ascii="宋体" w:hAnsi="宋体" w:cs="宋体" w:hint="eastAsia"/>
          <w:sz w:val="24"/>
          <w:highlight w:val="white"/>
          <w:lang w:eastAsia="zh-CN"/>
        </w:rPr>
        <w:t>对</w:t>
      </w:r>
      <w:r>
        <w:rPr>
          <w:rFonts w:ascii="宋体" w:hAnsi="宋体" w:cs="宋体"/>
          <w:sz w:val="24"/>
          <w:highlight w:val="white"/>
          <w:lang w:eastAsia="zh-CN"/>
        </w:rPr>
        <w:t>标的证券库</w:t>
      </w:r>
      <w:r>
        <w:rPr>
          <w:rFonts w:ascii="宋体" w:hAnsi="宋体" w:cs="宋体" w:hint="eastAsia"/>
          <w:sz w:val="24"/>
          <w:highlight w:val="white"/>
          <w:lang w:eastAsia="zh-CN"/>
        </w:rPr>
        <w:t>予以更新和调整并及时书面通知基金托管人。基金托管人根据上述投资范围对基金实际投资是否符合《基金合同》关于证券选择标准的约定进行监督。</w:t>
      </w:r>
    </w:p>
    <w:p w:rsidR="00BC44E7" w14:paraId="5AD938A1" w14:textId="22C20989">
      <w:pPr>
        <w:snapToGrid w:val="0"/>
        <w:ind w:firstLine="480"/>
        <w:rPr>
          <w:rFonts w:ascii="宋体" w:hAnsi="宋体" w:cs="宋体"/>
          <w:sz w:val="24"/>
          <w:lang w:eastAsia="zh-CN"/>
        </w:rPr>
      </w:pPr>
      <w:r>
        <w:rPr>
          <w:rFonts w:ascii="宋体" w:hAnsi="宋体" w:cs="宋体"/>
          <w:sz w:val="24"/>
          <w:lang w:eastAsia="zh-CN"/>
        </w:rPr>
        <w:t>本基金的投资范围包括经中国证监会依法核准或注册的基金（含QDII基金及香港互认基金、</w:t>
      </w:r>
      <w:r w:rsidRPr="00C67B98" w:rsidR="00C67B98">
        <w:rPr>
          <w:rFonts w:ascii="宋体" w:hAnsi="宋体" w:cs="宋体" w:hint="eastAsia"/>
          <w:sz w:val="24"/>
          <w:lang w:eastAsia="zh-CN"/>
        </w:rPr>
        <w:t>公开募集不动产投资信托基金</w:t>
      </w:r>
      <w:r>
        <w:rPr>
          <w:rFonts w:ascii="宋体" w:hAnsi="宋体" w:cs="宋体"/>
          <w:sz w:val="24"/>
          <w:lang w:eastAsia="zh-CN"/>
        </w:rPr>
        <w:t>（以下简称“公募REITs”）、商品基金（包括商品期货基金和黄金ETF等））、国内依法发行上市的股票（包括创业板、科创板及其他依法发行上市的股票、存托凭证）、内地与香港股票市场交易互联互通机制允许买卖的香港证券市场股票和交易型开放式基金（以下分别简称“港股通股票”、“港股通ETF”）、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rsidR="00BC44E7" w14:paraId="5A5E5C71" w14:textId="77777777">
      <w:pPr>
        <w:snapToGrid w:val="0"/>
        <w:ind w:firstLine="480"/>
        <w:rPr>
          <w:rFonts w:ascii="宋体" w:hAnsi="宋体" w:cs="宋体"/>
          <w:sz w:val="24"/>
          <w:lang w:eastAsia="zh-CN"/>
        </w:rPr>
      </w:pPr>
      <w:r>
        <w:rPr>
          <w:rFonts w:ascii="宋体" w:hAnsi="宋体" w:cs="宋体"/>
          <w:sz w:val="24"/>
          <w:lang w:eastAsia="zh-CN"/>
        </w:rPr>
        <w:t>如法律法规或监管机构以后允许基金投资其他品种，基金管理人在履行适当程序后，本基金可以将其纳入投资范围。</w:t>
      </w:r>
    </w:p>
    <w:p w:rsidR="00BC44E7" w14:paraId="710D40BA" w14:textId="66902DC9">
      <w:pPr>
        <w:snapToGrid w:val="0"/>
        <w:ind w:firstLine="480"/>
        <w:rPr>
          <w:rFonts w:ascii="宋体" w:hAnsi="宋体" w:cs="宋体"/>
          <w:sz w:val="24"/>
          <w:lang w:eastAsia="zh-CN"/>
        </w:rPr>
      </w:pPr>
      <w:r>
        <w:rPr>
          <w:rFonts w:ascii="宋体" w:hAnsi="宋体" w:cs="宋体"/>
          <w:sz w:val="24"/>
          <w:highlight w:val="white"/>
          <w:lang w:eastAsia="zh-CN"/>
        </w:rPr>
        <w:t>基金的投资组合比例为：</w:t>
      </w:r>
      <w:r>
        <w:rPr>
          <w:rFonts w:ascii="宋体" w:hAnsi="宋体" w:cs="宋体"/>
          <w:sz w:val="24"/>
          <w:lang w:eastAsia="zh-CN"/>
        </w:rPr>
        <w:t>本基金投资于经中国证监会依法核准或注册基金的资产不低于基金资产的80%，权益类资产占基金资产的比例为5%—30%</w:t>
      </w:r>
      <w:r w:rsidRPr="00C67B98" w:rsidR="00C67B98">
        <w:rPr>
          <w:rFonts w:ascii="宋体" w:hAnsi="宋体" w:cs="宋体" w:hint="eastAsia"/>
          <w:sz w:val="24"/>
          <w:lang w:eastAsia="zh-CN"/>
        </w:rPr>
        <w:t>（</w:t>
      </w:r>
      <w:r w:rsidRPr="00E312AC" w:rsidR="00E312AC">
        <w:rPr>
          <w:rFonts w:ascii="宋体" w:hAnsi="宋体" w:cs="宋体" w:hint="eastAsia"/>
          <w:sz w:val="24"/>
          <w:lang w:eastAsia="zh-CN"/>
        </w:rPr>
        <w:t>其中，本基金投资于境内股票、股票型基金、权益类混合型基金的资产合计不低于基金资产的5%</w:t>
      </w:r>
      <w:r w:rsidRPr="00C67B98" w:rsidR="00C67B98">
        <w:rPr>
          <w:rFonts w:ascii="宋体" w:hAnsi="宋体" w:cs="宋体" w:hint="eastAsia"/>
          <w:sz w:val="24"/>
          <w:lang w:eastAsia="zh-CN"/>
        </w:rPr>
        <w:t>）</w:t>
      </w:r>
      <w:r>
        <w:rPr>
          <w:rFonts w:ascii="宋体" w:hAnsi="宋体" w:cs="宋体"/>
          <w:sz w:val="24"/>
          <w:lang w:eastAsia="zh-CN"/>
        </w:rPr>
        <w:t>，投资于港股通股票的资产不超过股票资产的50%</w:t>
      </w:r>
      <w:r w:rsidRPr="002B65C4" w:rsidR="002B65C4">
        <w:rPr>
          <w:rFonts w:ascii="宋体" w:hAnsi="宋体" w:cs="宋体" w:hint="eastAsia"/>
          <w:sz w:val="24"/>
          <w:lang w:eastAsia="zh-CN"/>
        </w:rPr>
        <w:t>，投资于QDII基金、香港互认基金的资产合计不超过基金资产的20%</w:t>
      </w:r>
      <w:r>
        <w:rPr>
          <w:rFonts w:ascii="宋体" w:hAnsi="宋体" w:cs="宋体"/>
          <w:sz w:val="24"/>
          <w:lang w:eastAsia="zh-CN"/>
        </w:rPr>
        <w:t>；保持不低于基金资产净值5％的现金或者到期日在一年以内的政府债券，其中现金不包括结算备付金、存出保证金和应收申购款等。</w:t>
      </w:r>
    </w:p>
    <w:p w:rsidR="00BC44E7" w14:paraId="24790C12" w14:textId="77777777">
      <w:pPr>
        <w:snapToGrid w:val="0"/>
        <w:ind w:firstLine="480"/>
        <w:rPr>
          <w:rFonts w:ascii="宋体" w:hAnsi="宋体" w:cs="宋体"/>
          <w:sz w:val="24"/>
          <w:lang w:eastAsia="zh-CN"/>
        </w:rPr>
      </w:pPr>
      <w:r>
        <w:rPr>
          <w:rFonts w:ascii="宋体" w:hAnsi="宋体" w:cs="宋体"/>
          <w:sz w:val="24"/>
          <w:lang w:eastAsia="zh-CN"/>
        </w:rPr>
        <w:t>权益类资产包括股票、股票型基金以及权益类混合型基金。权益类混合型基金指至少满足以下一条标准的混合型基金：（1）基金合同约定投资股票资产占基金资产的比例不低于60%；（2）基金最近4期季度报告中披露的股票资产占基金资产的比例均不低于60%。</w:t>
      </w:r>
    </w:p>
    <w:p w:rsidR="00BC44E7" w14:paraId="52D0C29D" w14:textId="77777777">
      <w:pPr>
        <w:snapToGrid w:val="0"/>
        <w:ind w:firstLine="480"/>
        <w:rPr>
          <w:rFonts w:ascii="宋体" w:hAnsi="宋体" w:cs="宋体"/>
          <w:sz w:val="24"/>
          <w:lang w:eastAsia="zh-CN"/>
        </w:rPr>
      </w:pPr>
      <w:r>
        <w:rPr>
          <w:rFonts w:ascii="宋体" w:hAnsi="宋体" w:cs="宋体"/>
          <w:sz w:val="24"/>
          <w:highlight w:val="white"/>
          <w:lang w:eastAsia="zh-CN"/>
        </w:rPr>
        <w:t>（二）基金托管人根据有关法律法规的规定及《基金合同》的约定，对基金投资、融资比例进行监督。基金托管人按下述比例和调整期限进行监督：</w:t>
      </w:r>
    </w:p>
    <w:p w:rsidR="00BC44E7" w14:paraId="2DC6E417" w14:textId="1295B91F">
      <w:pPr>
        <w:ind w:firstLine="480"/>
        <w:rPr>
          <w:rFonts w:ascii="宋体" w:hAnsi="宋体" w:cs="宋体"/>
          <w:sz w:val="24"/>
          <w:lang w:eastAsia="zh-CN"/>
        </w:rPr>
      </w:pPr>
      <w:r>
        <w:rPr>
          <w:rFonts w:ascii="宋体" w:hAnsi="宋体" w:cs="宋体" w:hint="eastAsia"/>
          <w:sz w:val="24"/>
          <w:highlight w:val="white"/>
          <w:lang w:eastAsia="zh-CN"/>
        </w:rPr>
        <w:t>（1）本基金投资于经中国证监会依法核准或注册基金的资产不低于基金资产的80%，权益类资产占基金资产的比例为5%—30%</w:t>
      </w:r>
      <w:r w:rsidRPr="00C67B98" w:rsidR="00C67B98">
        <w:rPr>
          <w:rFonts w:ascii="宋体" w:hAnsi="宋体" w:cs="宋体" w:hint="eastAsia"/>
          <w:sz w:val="24"/>
          <w:lang w:eastAsia="zh-CN"/>
        </w:rPr>
        <w:t>（</w:t>
      </w:r>
      <w:r w:rsidRPr="00E312AC" w:rsidR="00E312AC">
        <w:rPr>
          <w:rFonts w:ascii="宋体" w:hAnsi="宋体" w:cs="宋体" w:hint="eastAsia"/>
          <w:sz w:val="24"/>
          <w:lang w:eastAsia="zh-CN"/>
        </w:rPr>
        <w:t>其中，本基金投资于境内股票、股票型基金、权益类混合型基金的资产合计不低于基金资产的5%</w:t>
      </w:r>
      <w:r w:rsidRPr="00C67B98" w:rsidR="00C67B98">
        <w:rPr>
          <w:rFonts w:ascii="宋体" w:hAnsi="宋体" w:cs="宋体" w:hint="eastAsia"/>
          <w:sz w:val="24"/>
          <w:lang w:eastAsia="zh-CN"/>
        </w:rPr>
        <w:t>）</w:t>
      </w:r>
      <w:r>
        <w:rPr>
          <w:rFonts w:ascii="宋体" w:hAnsi="宋体" w:cs="宋体" w:hint="eastAsia"/>
          <w:sz w:val="24"/>
          <w:highlight w:val="white"/>
          <w:lang w:eastAsia="zh-CN"/>
        </w:rPr>
        <w:t>，投资于港股通股票的资产不超过股票资产的50%</w:t>
      </w:r>
      <w:r w:rsidRPr="002B65C4" w:rsidR="002B65C4">
        <w:rPr>
          <w:rFonts w:ascii="宋体" w:hAnsi="宋体" w:cs="宋体" w:hint="eastAsia"/>
          <w:sz w:val="24"/>
          <w:lang w:eastAsia="zh-CN"/>
        </w:rPr>
        <w:t>，投资于QDII基金、香港互认基金的资产合计不超过基金资产的20%</w:t>
      </w:r>
      <w:r>
        <w:rPr>
          <w:rFonts w:ascii="宋体" w:hAnsi="宋体" w:cs="宋体" w:hint="eastAsia"/>
          <w:sz w:val="24"/>
          <w:highlight w:val="white"/>
          <w:lang w:eastAsia="zh-CN"/>
        </w:rPr>
        <w:t>；</w:t>
      </w:r>
    </w:p>
    <w:p w:rsidR="00BC44E7" w14:paraId="42292524" w14:textId="77777777">
      <w:pPr>
        <w:ind w:firstLine="480"/>
        <w:rPr>
          <w:lang w:eastAsia="zh-CN"/>
        </w:rPr>
      </w:pPr>
      <w:r>
        <w:rPr>
          <w:rFonts w:ascii="宋体" w:hAnsi="宋体" w:cs="宋体" w:hint="eastAsia"/>
          <w:sz w:val="24"/>
          <w:highlight w:val="white"/>
          <w:lang w:eastAsia="zh-CN"/>
        </w:rPr>
        <w:t>（2）本基金持有单只基金的市值，不高于本基金资产净值的20%，且不得持有其他基金中基金；</w:t>
      </w:r>
    </w:p>
    <w:p w:rsidR="00BC44E7" w14:paraId="3F82A74D" w14:textId="77777777">
      <w:pPr>
        <w:ind w:firstLine="480"/>
        <w:rPr>
          <w:lang w:eastAsia="zh-CN"/>
        </w:rPr>
      </w:pPr>
      <w:r>
        <w:rPr>
          <w:rFonts w:ascii="宋体" w:hAnsi="宋体" w:cs="宋体" w:hint="eastAsia"/>
          <w:sz w:val="24"/>
          <w:highlight w:val="white"/>
          <w:lang w:eastAsia="zh-CN"/>
        </w:rPr>
        <w:t>（3）本基金管理人管理</w:t>
      </w:r>
      <w:r>
        <w:rPr>
          <w:rFonts w:ascii="宋体" w:hAnsi="宋体" w:cs="宋体"/>
          <w:sz w:val="24"/>
          <w:highlight w:val="white"/>
          <w:lang w:eastAsia="zh-CN"/>
        </w:rPr>
        <w:t>且在本基金托管人处托管</w:t>
      </w:r>
      <w:r>
        <w:rPr>
          <w:rFonts w:ascii="宋体" w:hAnsi="宋体" w:cs="宋体" w:hint="eastAsia"/>
          <w:sz w:val="24"/>
          <w:highlight w:val="white"/>
          <w:lang w:eastAsia="zh-CN"/>
        </w:rPr>
        <w:t>的全部基金中基金（ETF联接基金除外）持有单只基金不得超过被投资基金净资产的20%，被投资基金净资产规模以最近定期报告披露的规模为准；</w:t>
      </w:r>
    </w:p>
    <w:p w:rsidR="00BC44E7" w14:paraId="12590AEB" w14:textId="77777777">
      <w:pPr>
        <w:ind w:firstLine="480"/>
        <w:rPr>
          <w:lang w:eastAsia="zh-CN"/>
        </w:rPr>
      </w:pPr>
      <w:r>
        <w:rPr>
          <w:rFonts w:ascii="宋体" w:hAnsi="宋体" w:cs="宋体" w:hint="eastAsia"/>
          <w:sz w:val="24"/>
          <w:highlight w:val="white"/>
          <w:lang w:eastAsia="zh-CN"/>
        </w:rPr>
        <w:t>（4）本基金投资于封闭运作基金、定期开放基金等流通受限基金的资产合计不得超过基金资产净值的10%；</w:t>
      </w:r>
    </w:p>
    <w:p w:rsidR="00BC44E7" w14:paraId="7D0499F5" w14:textId="77777777">
      <w:pPr>
        <w:ind w:firstLine="480"/>
        <w:rPr>
          <w:lang w:eastAsia="zh-CN"/>
        </w:rPr>
      </w:pPr>
      <w:r>
        <w:rPr>
          <w:rFonts w:ascii="宋体" w:hAnsi="宋体" w:cs="宋体" w:hint="eastAsia"/>
          <w:sz w:val="24"/>
          <w:highlight w:val="white"/>
          <w:lang w:eastAsia="zh-CN"/>
        </w:rPr>
        <w:t>（5）本基金所投资基金的运作期限不得少于1年、最近定期报告披露的基金净资产应当不低于1亿元；</w:t>
      </w:r>
    </w:p>
    <w:p w:rsidR="00BC44E7" w14:paraId="34933BDF" w14:textId="77777777">
      <w:pPr>
        <w:ind w:firstLine="480"/>
        <w:rPr>
          <w:lang w:eastAsia="zh-CN"/>
        </w:rPr>
      </w:pPr>
      <w:r>
        <w:rPr>
          <w:rFonts w:ascii="宋体" w:hAnsi="宋体" w:cs="宋体" w:hint="eastAsia"/>
          <w:sz w:val="24"/>
          <w:highlight w:val="white"/>
          <w:lang w:eastAsia="zh-CN"/>
        </w:rPr>
        <w:t>（6）本基金可投资于QDII基金及香港互认基金，不得持有具有复杂、衍生品性质的基金份额，包括分级基金和中国证监会认定的其他基金份额；</w:t>
      </w:r>
    </w:p>
    <w:p w:rsidR="00BC44E7" w14:paraId="0F6CBB32" w14:textId="77777777">
      <w:pPr>
        <w:ind w:firstLine="480"/>
        <w:rPr>
          <w:lang w:eastAsia="zh-CN"/>
        </w:rPr>
      </w:pPr>
      <w:r>
        <w:rPr>
          <w:rFonts w:ascii="宋体" w:hAnsi="宋体" w:cs="宋体" w:hint="eastAsia"/>
          <w:sz w:val="24"/>
          <w:highlight w:val="white"/>
          <w:lang w:eastAsia="zh-CN"/>
        </w:rPr>
        <w:t>（7）保持不低于基金资产净值5％的现金或者到期日在一年以内的政府债券，其中现金不包括结算备付金、存出保证金和应收申购款等；</w:t>
      </w:r>
    </w:p>
    <w:p w:rsidR="00BC44E7" w14:paraId="59563731" w14:textId="77777777">
      <w:pPr>
        <w:ind w:firstLine="480"/>
        <w:rPr>
          <w:lang w:eastAsia="zh-CN"/>
        </w:rPr>
      </w:pPr>
      <w:r>
        <w:rPr>
          <w:rFonts w:ascii="宋体" w:hAnsi="宋体" w:cs="宋体" w:hint="eastAsia"/>
          <w:sz w:val="24"/>
          <w:highlight w:val="white"/>
          <w:lang w:eastAsia="zh-CN"/>
        </w:rPr>
        <w:t>（8）本基金持有一家公司发行的证券（同一家公司在内地和香港同时上市的A+H股合计计算），其市值不超过基金资产净值的10％；</w:t>
      </w:r>
    </w:p>
    <w:p w:rsidR="00BC44E7" w14:paraId="5B903E52" w14:textId="77777777">
      <w:pPr>
        <w:ind w:firstLine="480"/>
        <w:rPr>
          <w:lang w:eastAsia="zh-CN"/>
        </w:rPr>
      </w:pPr>
      <w:r>
        <w:rPr>
          <w:rFonts w:ascii="宋体" w:hAnsi="宋体" w:cs="宋体" w:hint="eastAsia"/>
          <w:sz w:val="24"/>
          <w:highlight w:val="white"/>
          <w:lang w:eastAsia="zh-CN"/>
        </w:rPr>
        <w:t>（9）本基金管理人管理</w:t>
      </w:r>
      <w:r>
        <w:rPr>
          <w:rFonts w:ascii="宋体" w:hAnsi="宋体" w:cs="宋体"/>
          <w:sz w:val="24"/>
          <w:highlight w:val="white"/>
          <w:lang w:eastAsia="zh-CN"/>
        </w:rPr>
        <w:t>且在本基金托管人处托管</w:t>
      </w:r>
      <w:r>
        <w:rPr>
          <w:rFonts w:ascii="宋体" w:hAnsi="宋体" w:cs="宋体" w:hint="eastAsia"/>
          <w:sz w:val="24"/>
          <w:highlight w:val="white"/>
          <w:lang w:eastAsia="zh-CN"/>
        </w:rPr>
        <w:t>的全部基金持有一家公司发行的证券（同一家公司在内地和香港同时上市的A+H股合计计算），不超过该证券的10％，完全按照有关指数的构成比例进行证券投资的基金品种可以不受此条款规定的比例限制；</w:t>
      </w:r>
    </w:p>
    <w:p w:rsidR="00BC44E7" w14:paraId="47B3C2BB" w14:textId="77777777">
      <w:pPr>
        <w:ind w:firstLine="480"/>
        <w:rPr>
          <w:lang w:eastAsia="zh-CN"/>
        </w:rPr>
      </w:pPr>
      <w:r>
        <w:rPr>
          <w:rFonts w:ascii="宋体" w:hAnsi="宋体" w:cs="宋体" w:hint="eastAsia"/>
          <w:sz w:val="24"/>
          <w:highlight w:val="white"/>
          <w:lang w:eastAsia="zh-CN"/>
        </w:rPr>
        <w:t>（10）本基金投资于同一原始权益人的各类资产支持证券的比例，不得超过基金资产净值的10％；</w:t>
      </w:r>
    </w:p>
    <w:p w:rsidR="00BC44E7" w14:paraId="56424BD6" w14:textId="77777777">
      <w:pPr>
        <w:ind w:firstLine="480"/>
        <w:rPr>
          <w:lang w:eastAsia="zh-CN"/>
        </w:rPr>
      </w:pPr>
      <w:r>
        <w:rPr>
          <w:rFonts w:ascii="宋体" w:hAnsi="宋体" w:cs="宋体" w:hint="eastAsia"/>
          <w:sz w:val="24"/>
          <w:highlight w:val="white"/>
          <w:lang w:eastAsia="zh-CN"/>
        </w:rPr>
        <w:t>（11）本基金持有的全部资产支持证券，其市值不得超过基金资产净值的20％；</w:t>
      </w:r>
    </w:p>
    <w:p w:rsidR="00BC44E7" w14:paraId="48642AA8" w14:textId="77777777">
      <w:pPr>
        <w:ind w:firstLine="480"/>
        <w:rPr>
          <w:lang w:eastAsia="zh-CN"/>
        </w:rPr>
      </w:pPr>
      <w:r>
        <w:rPr>
          <w:rFonts w:ascii="宋体" w:hAnsi="宋体" w:cs="宋体" w:hint="eastAsia"/>
          <w:sz w:val="24"/>
          <w:highlight w:val="white"/>
          <w:lang w:eastAsia="zh-CN"/>
        </w:rPr>
        <w:t>（12）本基金持有的同一(指同一信用级别)资产支持证券的比例，不得超过该资产支持证券规模的10％；</w:t>
      </w:r>
    </w:p>
    <w:p w:rsidR="00BC44E7" w14:paraId="45C547AC" w14:textId="77777777">
      <w:pPr>
        <w:ind w:firstLine="480"/>
        <w:rPr>
          <w:lang w:eastAsia="zh-CN"/>
        </w:rPr>
      </w:pPr>
      <w:r>
        <w:rPr>
          <w:rFonts w:ascii="宋体" w:hAnsi="宋体" w:cs="宋体" w:hint="eastAsia"/>
          <w:sz w:val="24"/>
          <w:highlight w:val="white"/>
          <w:lang w:eastAsia="zh-CN"/>
        </w:rPr>
        <w:t>（13）本基金管理人管理</w:t>
      </w:r>
      <w:r>
        <w:rPr>
          <w:rFonts w:ascii="宋体" w:hAnsi="宋体" w:cs="宋体"/>
          <w:sz w:val="24"/>
          <w:highlight w:val="white"/>
          <w:lang w:eastAsia="zh-CN"/>
        </w:rPr>
        <w:t>且在本基金托管人处托管</w:t>
      </w:r>
      <w:r>
        <w:rPr>
          <w:rFonts w:ascii="宋体" w:hAnsi="宋体" w:cs="宋体" w:hint="eastAsia"/>
          <w:sz w:val="24"/>
          <w:highlight w:val="white"/>
          <w:lang w:eastAsia="zh-CN"/>
        </w:rPr>
        <w:t>的全部基金投资于同一原始权益人的各类资产支持证券，不得超过其各类资产支持证券合计规模的10％；</w:t>
      </w:r>
    </w:p>
    <w:p w:rsidR="00BC44E7" w14:paraId="3C5B66C1" w14:textId="77777777">
      <w:pPr>
        <w:ind w:firstLine="480"/>
        <w:rPr>
          <w:lang w:eastAsia="zh-CN"/>
        </w:rPr>
      </w:pPr>
      <w:r>
        <w:rPr>
          <w:rFonts w:ascii="宋体" w:hAnsi="宋体" w:cs="宋体" w:hint="eastAsia"/>
          <w:sz w:val="24"/>
          <w:highlight w:val="white"/>
          <w:lang w:eastAsia="zh-CN"/>
        </w:rPr>
        <w:t>（14）本基金应投资于信用级别评级为BBB以上(含BBB)的资产支持证券。基金持有资产支持证券期间，如果其信用等级下降、不再符合投资标准，应在评级报告发布之日起3个月内予以全部卖出；</w:t>
      </w:r>
    </w:p>
    <w:p w:rsidR="00BC44E7" w14:paraId="1981C8B7" w14:textId="77777777">
      <w:pPr>
        <w:ind w:firstLine="480"/>
        <w:rPr>
          <w:lang w:eastAsia="zh-CN"/>
        </w:rPr>
      </w:pPr>
      <w:r>
        <w:rPr>
          <w:rFonts w:ascii="宋体" w:hAnsi="宋体" w:cs="宋体" w:hint="eastAsia"/>
          <w:sz w:val="24"/>
          <w:highlight w:val="white"/>
          <w:lang w:eastAsia="zh-CN"/>
        </w:rPr>
        <w:t>（15）基金财产参与股票发行申购，本基金所申报的金额不超过本基金的总资产，本基金所申报的股票数量不超过拟发行股票公司本次发行股票的总量；</w:t>
      </w:r>
    </w:p>
    <w:p w:rsidR="00BC44E7" w14:paraId="22FDDCB7" w14:textId="431511CA">
      <w:pPr>
        <w:ind w:firstLine="480"/>
        <w:rPr>
          <w:lang w:eastAsia="zh-CN"/>
        </w:rPr>
      </w:pPr>
      <w:r>
        <w:rPr>
          <w:rFonts w:ascii="宋体" w:hAnsi="宋体" w:cs="宋体" w:hint="eastAsia"/>
          <w:sz w:val="24"/>
          <w:highlight w:val="white"/>
          <w:lang w:eastAsia="zh-CN"/>
        </w:rPr>
        <w:t>（16）本基金管理人管理</w:t>
      </w:r>
      <w:r>
        <w:rPr>
          <w:rFonts w:ascii="宋体" w:hAnsi="宋体" w:cs="宋体"/>
          <w:sz w:val="24"/>
          <w:highlight w:val="white"/>
          <w:lang w:eastAsia="zh-CN"/>
        </w:rPr>
        <w:t>且在本基金托管人处托管</w:t>
      </w:r>
      <w:r>
        <w:rPr>
          <w:rFonts w:ascii="宋体" w:hAnsi="宋体" w:cs="宋体" w:hint="eastAsia"/>
          <w:sz w:val="24"/>
          <w:highlight w:val="white"/>
          <w:lang w:eastAsia="zh-CN"/>
        </w:rPr>
        <w:t>的全部开放式基金持有一家上市公司发行的可流通股票，不得超过该上市公司可流通股票的15%；本基金管理人管理</w:t>
      </w:r>
      <w:r w:rsidRPr="001D5FA0" w:rsidR="001D5FA0">
        <w:rPr>
          <w:rFonts w:ascii="宋体" w:hAnsi="宋体" w:cs="宋体" w:hint="eastAsia"/>
          <w:sz w:val="24"/>
          <w:lang w:eastAsia="zh-CN"/>
        </w:rPr>
        <w:t>且在本基金托管人处托管的</w:t>
      </w:r>
      <w:r>
        <w:rPr>
          <w:rFonts w:ascii="宋体" w:hAnsi="宋体" w:cs="宋体" w:hint="eastAsia"/>
          <w:sz w:val="24"/>
          <w:highlight w:val="white"/>
          <w:lang w:eastAsia="zh-CN"/>
        </w:rPr>
        <w:t>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BC44E7" w14:paraId="00090FDB" w14:textId="77777777">
      <w:pPr>
        <w:ind w:firstLine="480"/>
        <w:rPr>
          <w:lang w:eastAsia="zh-CN"/>
        </w:rPr>
      </w:pPr>
      <w:r>
        <w:rPr>
          <w:rFonts w:ascii="宋体" w:hAnsi="宋体" w:cs="宋体" w:hint="eastAsia"/>
          <w:sz w:val="24"/>
          <w:highlight w:val="white"/>
          <w:lang w:eastAsia="zh-CN"/>
        </w:rPr>
        <w:t>（17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BC44E7" w14:paraId="76B200F3" w14:textId="77777777">
      <w:pPr>
        <w:ind w:firstLine="480"/>
        <w:rPr>
          <w:lang w:eastAsia="zh-CN"/>
        </w:rPr>
      </w:pPr>
      <w:r>
        <w:rPr>
          <w:rFonts w:ascii="宋体" w:hAnsi="宋体" w:cs="宋体" w:hint="eastAsia"/>
          <w:sz w:val="24"/>
          <w:highlight w:val="white"/>
          <w:lang w:eastAsia="zh-CN"/>
        </w:rPr>
        <w:t>（18）本基金资产总值不超过基金资产净值的140%；</w:t>
      </w:r>
    </w:p>
    <w:p w:rsidR="00BC44E7" w14:paraId="25DB538E" w14:textId="77777777">
      <w:pPr>
        <w:ind w:firstLine="480"/>
        <w:rPr>
          <w:lang w:eastAsia="zh-CN"/>
        </w:rPr>
      </w:pPr>
      <w:r>
        <w:rPr>
          <w:rFonts w:ascii="宋体" w:hAnsi="宋体" w:cs="宋体" w:hint="eastAsia"/>
          <w:sz w:val="24"/>
          <w:highlight w:val="white"/>
          <w:lang w:eastAsia="zh-CN"/>
        </w:rPr>
        <w:t>（19）本基金投资于货币市场基金的资产不得超过基金资产的15%；</w:t>
      </w:r>
    </w:p>
    <w:p w:rsidR="00BC44E7" w14:paraId="6A2137A4" w14:textId="77777777">
      <w:pPr>
        <w:ind w:firstLine="480"/>
        <w:rPr>
          <w:lang w:eastAsia="zh-CN"/>
        </w:rPr>
      </w:pPr>
      <w:r>
        <w:rPr>
          <w:rFonts w:ascii="宋体" w:hAnsi="宋体" w:cs="宋体" w:hint="eastAsia"/>
          <w:sz w:val="24"/>
          <w:highlight w:val="white"/>
          <w:lang w:eastAsia="zh-CN"/>
        </w:rPr>
        <w:t>（20）基金管理人运用基金中基金财产投资于股票、债券等金融工具的，投资品种和比例应当符合基金中基金的投资目标和投资策略；</w:t>
      </w:r>
    </w:p>
    <w:p w:rsidR="00BC44E7" w14:paraId="17606C3E" w14:textId="77777777">
      <w:pPr>
        <w:ind w:firstLine="480"/>
        <w:rPr>
          <w:lang w:eastAsia="zh-CN"/>
        </w:rPr>
      </w:pPr>
      <w:r>
        <w:rPr>
          <w:rFonts w:ascii="宋体" w:hAnsi="宋体" w:cs="宋体" w:hint="eastAsia"/>
          <w:sz w:val="24"/>
          <w:highlight w:val="white"/>
          <w:lang w:eastAsia="zh-CN"/>
        </w:rPr>
        <w:t>（21）本基金投资存托凭证的比例限制依照境内上市交易的股票执行，与境内上市交易的股票合并计算；</w:t>
      </w:r>
    </w:p>
    <w:p w:rsidR="00BC44E7" w14:paraId="69253BF2" w14:textId="77777777">
      <w:pPr>
        <w:ind w:firstLine="480"/>
        <w:rPr>
          <w:lang w:eastAsia="zh-CN"/>
        </w:rPr>
      </w:pPr>
      <w:r>
        <w:rPr>
          <w:rFonts w:ascii="宋体" w:hAnsi="宋体" w:cs="宋体" w:hint="eastAsia"/>
          <w:sz w:val="24"/>
          <w:highlight w:val="white"/>
          <w:lang w:eastAsia="zh-CN"/>
        </w:rPr>
        <w:t>（22）法律法规及中国证监会规定的和《基金合同》约定的其他投资限制。</w:t>
      </w:r>
    </w:p>
    <w:p w:rsidR="00BC44E7" w14:paraId="5479A04F" w14:textId="77777777">
      <w:pPr>
        <w:ind w:firstLine="480"/>
        <w:rPr>
          <w:lang w:eastAsia="zh-CN"/>
        </w:rPr>
      </w:pPr>
      <w:r>
        <w:rPr>
          <w:rFonts w:ascii="宋体" w:hAnsi="宋体" w:cs="宋体" w:hint="eastAsia"/>
          <w:sz w:val="24"/>
          <w:highlight w:val="white"/>
          <w:lang w:eastAsia="zh-CN"/>
        </w:rPr>
        <w:t>因证券市场波动、证券发行人合并、基金规模变动等基金管理人之外的因素致使基金投资比例不符合上述（1）、（4）、（5）、（8）-（13）、（16）、（18）-（22）项规定投资比例的，基金管理人应当在被投资证券或基金可交易或可赎回之日起10个交易日内进行调整，致使基金投资比例不符合上述（2）、（3）项规定投资比例的，基金管理人应当在被投资基金可交易或可赎回之日起20个交易日内进行调整，但中国证监会规定的特殊情形除外。法律法规或监管部门另有规定的，届时按最新规定执行。</w:t>
      </w:r>
    </w:p>
    <w:p w:rsidR="00BC44E7" w14:paraId="5907D808" w14:textId="77777777">
      <w:pPr>
        <w:ind w:firstLine="480"/>
        <w:rPr>
          <w:lang w:eastAsia="zh-CN"/>
        </w:rPr>
      </w:pPr>
      <w:r>
        <w:rPr>
          <w:rFonts w:ascii="宋体" w:hAnsi="宋体" w:cs="宋体" w:hint="eastAsia"/>
          <w:sz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r>
        <w:rPr>
          <w:rFonts w:ascii="宋体" w:hAnsi="宋体" w:cs="宋体"/>
          <w:sz w:val="24"/>
          <w:highlight w:val="white"/>
          <w:lang w:eastAsia="zh-CN"/>
        </w:rPr>
        <w:t xml:space="preserve"> </w:t>
      </w:r>
    </w:p>
    <w:p w:rsidR="00BC44E7" w14:paraId="1CF782E0" w14:textId="77777777">
      <w:pPr>
        <w:snapToGrid w:val="0"/>
        <w:ind w:firstLine="480"/>
        <w:rPr>
          <w:rFonts w:ascii="宋体" w:hAnsi="宋体" w:cs="宋体"/>
          <w:sz w:val="24"/>
          <w:lang w:eastAsia="zh-CN"/>
        </w:rPr>
      </w:pPr>
      <w:r>
        <w:rPr>
          <w:rFonts w:ascii="宋体" w:hAnsi="宋体" w:cs="宋体" w:hint="eastAsia"/>
          <w:sz w:val="24"/>
          <w:highlight w:val="white"/>
          <w:lang w:eastAsia="zh-CN"/>
        </w:rPr>
        <w:t>如果法律法规对上述投资组合比例限制进行变更的，以变更后的规定为准。法律法规或监管部门取消上述限制，则本基金投资不再受相关限制。</w:t>
      </w:r>
    </w:p>
    <w:p w:rsidR="00BC44E7" w14:paraId="5E64884A" w14:textId="77777777">
      <w:pPr>
        <w:snapToGrid w:val="0"/>
        <w:ind w:firstLine="480"/>
        <w:rPr>
          <w:rFonts w:ascii="宋体" w:hAnsi="宋体" w:cs="宋体"/>
          <w:sz w:val="24"/>
          <w:lang w:eastAsia="zh-CN"/>
        </w:rPr>
      </w:pPr>
      <w:r>
        <w:rPr>
          <w:rFonts w:ascii="宋体" w:hAnsi="宋体" w:cs="宋体" w:hint="eastAsia"/>
          <w:sz w:val="24"/>
          <w:highlight w:val="white"/>
          <w:lang w:eastAsia="zh-CN"/>
        </w:rPr>
        <w:t>（三）基金托管人</w:t>
      </w:r>
      <w:bookmarkStart w:id="5" w:name="OLE_LINK1"/>
      <w:r>
        <w:rPr>
          <w:rFonts w:ascii="宋体" w:hAnsi="宋体" w:cs="宋体" w:hint="eastAsia"/>
          <w:sz w:val="24"/>
          <w:highlight w:val="white"/>
          <w:lang w:eastAsia="zh-CN"/>
        </w:rPr>
        <w:t>根据有关法律法规的规定及《基金合同》的约定，</w:t>
      </w:r>
      <w:bookmarkEnd w:id="5"/>
      <w:r>
        <w:rPr>
          <w:rFonts w:ascii="宋体" w:hAnsi="宋体" w:cs="宋体" w:hint="eastAsia"/>
          <w:sz w:val="24"/>
          <w:highlight w:val="white"/>
          <w:lang w:eastAsia="zh-CN"/>
        </w:rPr>
        <w:t>对本托管协议第十五条第九款基金投资禁止行为通过事后监督方式进行监督。</w:t>
      </w:r>
    </w:p>
    <w:p w:rsidR="00BC44E7" w14:paraId="51CD7292" w14:textId="77777777">
      <w:pPr>
        <w:snapToGrid w:val="0"/>
        <w:ind w:firstLine="480"/>
        <w:rPr>
          <w:rFonts w:ascii="宋体" w:hAnsi="宋体" w:cs="宋体"/>
          <w:sz w:val="24"/>
          <w:lang w:eastAsia="zh-CN"/>
        </w:rPr>
      </w:pPr>
      <w:r>
        <w:rPr>
          <w:rFonts w:ascii="宋体" w:hAnsi="宋体" w:cs="宋体"/>
          <w:sz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C44E7" w14:paraId="51B13643" w14:textId="77777777">
      <w:pPr>
        <w:snapToGrid w:val="0"/>
        <w:ind w:firstLine="480"/>
        <w:rPr>
          <w:rFonts w:ascii="宋体" w:hAnsi="宋体" w:cs="宋体"/>
          <w:sz w:val="24"/>
          <w:lang w:eastAsia="zh-CN"/>
        </w:rPr>
      </w:pPr>
      <w:r>
        <w:rPr>
          <w:rFonts w:ascii="宋体" w:hAnsi="宋体" w:cs="宋体"/>
          <w:sz w:val="24"/>
          <w:highlight w:val="white"/>
          <w:lang w:eastAsia="zh-CN"/>
        </w:rPr>
        <w:t>本基金投资基金管理人及基金管理人关联方管理基金的情况，不属于前述重大关联交易，但是应当按照法律法规或监管规定的要求履行信息披露义务。</w:t>
      </w:r>
    </w:p>
    <w:p w:rsidR="00BC44E7" w14:paraId="167B7F69" w14:textId="77777777">
      <w:pPr>
        <w:snapToGrid w:val="0"/>
        <w:ind w:firstLine="480"/>
        <w:rPr>
          <w:rFonts w:ascii="宋体" w:hAnsi="宋体" w:cs="宋体"/>
          <w:sz w:val="24"/>
          <w:lang w:eastAsia="zh-CN"/>
        </w:rPr>
      </w:pPr>
      <w:r>
        <w:rPr>
          <w:rFonts w:ascii="宋体" w:hAnsi="宋体" w:cs="宋体"/>
          <w:sz w:val="24"/>
          <w:highlight w:val="white"/>
          <w:lang w:eastAsia="zh-CN"/>
        </w:rPr>
        <w:t>（四）</w:t>
      </w:r>
      <w:r>
        <w:rPr>
          <w:rFonts w:ascii="宋体" w:hAnsi="宋体" w:cs="宋体" w:hint="eastAsia"/>
          <w:sz w:val="24"/>
          <w:highlight w:val="white"/>
          <w:lang w:eastAsia="zh-CN"/>
        </w:rPr>
        <w:t>基金托管人根据有关法律法规的规定及《基金合同》的约定，对基金管理人投资流通受限证券进行监督。</w:t>
      </w:r>
    </w:p>
    <w:p w:rsidR="00BC44E7" w14:paraId="1AD3952C" w14:textId="77777777">
      <w:pPr>
        <w:snapToGrid w:val="0"/>
        <w:ind w:firstLine="480"/>
        <w:rPr>
          <w:rFonts w:ascii="宋体" w:hAnsi="宋体" w:cs="宋体"/>
          <w:sz w:val="24"/>
          <w:lang w:eastAsia="zh-CN"/>
        </w:rPr>
      </w:pPr>
      <w:r>
        <w:rPr>
          <w:rFonts w:ascii="宋体" w:hAnsi="宋体" w:cs="宋体" w:hint="eastAsia"/>
          <w:sz w:val="24"/>
          <w:highlight w:val="white"/>
          <w:lang w:eastAsia="zh-CN"/>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相关投资额度和比例等的情况进行监督。</w:t>
      </w:r>
    </w:p>
    <w:p w:rsidR="00BC44E7" w14:paraId="420E6B09" w14:textId="77777777">
      <w:pPr>
        <w:snapToGrid w:val="0"/>
        <w:ind w:firstLine="480"/>
        <w:rPr>
          <w:rFonts w:ascii="宋体" w:hAnsi="宋体" w:cs="宋体"/>
          <w:sz w:val="24"/>
          <w:lang w:eastAsia="zh-CN"/>
        </w:rPr>
      </w:pPr>
      <w:r>
        <w:rPr>
          <w:rFonts w:ascii="宋体" w:hAnsi="宋体" w:cs="宋体"/>
          <w:sz w:val="24"/>
          <w:highlight w:val="white"/>
          <w:lang w:eastAsia="zh-CN"/>
        </w:rPr>
        <w:t>1.</w:t>
      </w:r>
      <w:r>
        <w:rPr>
          <w:rFonts w:ascii="宋体" w:hAnsi="宋体" w:cs="宋体" w:hint="eastAsia"/>
          <w:sz w:val="24"/>
          <w:highlight w:val="white"/>
          <w:lang w:eastAsia="zh-CN"/>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BC44E7" w14:paraId="3E2D1EFF" w14:textId="77777777">
      <w:pPr>
        <w:snapToGrid w:val="0"/>
        <w:ind w:firstLine="480"/>
        <w:rPr>
          <w:rFonts w:ascii="宋体" w:hAnsi="宋体" w:cs="宋体"/>
          <w:sz w:val="24"/>
          <w:lang w:eastAsia="zh-CN"/>
        </w:rPr>
      </w:pPr>
      <w:r>
        <w:rPr>
          <w:rFonts w:ascii="宋体" w:hAnsi="宋体" w:cs="宋体" w:hint="eastAsia"/>
          <w:sz w:val="24"/>
          <w:highlight w:val="white"/>
          <w:lang w:eastAsia="zh-CN"/>
        </w:rPr>
        <w:t>本基金投资的流通受限证券限于可由中国证券登记结算有限责任公司或中央国债登记结算有限责任公司负责登记和存管，并可在证券交易所或全国银行间债券市场交易的证券。</w:t>
      </w:r>
    </w:p>
    <w:p w:rsidR="00BC44E7" w14:paraId="640AF799" w14:textId="77777777">
      <w:pPr>
        <w:snapToGrid w:val="0"/>
        <w:ind w:firstLine="480"/>
        <w:rPr>
          <w:rFonts w:ascii="宋体" w:hAnsi="宋体" w:cs="宋体"/>
          <w:sz w:val="24"/>
          <w:lang w:eastAsia="zh-CN"/>
        </w:rPr>
      </w:pPr>
      <w:r>
        <w:rPr>
          <w:rFonts w:ascii="宋体" w:hAnsi="宋体" w:cs="宋体" w:hint="eastAsia"/>
          <w:sz w:val="24"/>
          <w:highlight w:val="white"/>
          <w:lang w:eastAsia="zh-CN"/>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BC44E7" w14:paraId="13C9960E" w14:textId="77777777">
      <w:pPr>
        <w:snapToGrid w:val="0"/>
        <w:ind w:firstLine="480"/>
        <w:rPr>
          <w:rFonts w:ascii="宋体" w:hAnsi="宋体" w:cs="宋体"/>
          <w:sz w:val="24"/>
          <w:lang w:eastAsia="zh-CN"/>
        </w:rPr>
      </w:pPr>
      <w:r>
        <w:rPr>
          <w:rFonts w:ascii="宋体" w:hAnsi="宋体" w:cs="宋体" w:hint="eastAsia"/>
          <w:sz w:val="24"/>
          <w:highlight w:val="white"/>
          <w:lang w:eastAsia="zh-CN"/>
        </w:rPr>
        <w:t>本基金投资流通受限证券，不得预付任何形式的保证金，若法规有新规定的按照新的规定执行。</w:t>
      </w:r>
    </w:p>
    <w:p w:rsidR="00BC44E7" w14:paraId="378E5906" w14:textId="77777777">
      <w:pPr>
        <w:snapToGrid w:val="0"/>
        <w:ind w:firstLine="480"/>
        <w:rPr>
          <w:rFonts w:ascii="宋体" w:hAnsi="宋体" w:cs="宋体"/>
          <w:sz w:val="24"/>
          <w:lang w:eastAsia="zh-CN"/>
        </w:rPr>
      </w:pPr>
      <w:r>
        <w:rPr>
          <w:rFonts w:ascii="宋体" w:hAnsi="宋体" w:cs="宋体"/>
          <w:sz w:val="24"/>
          <w:highlight w:val="white"/>
          <w:lang w:eastAsia="zh-CN"/>
        </w:rPr>
        <w:t>2.</w:t>
      </w:r>
      <w:r>
        <w:rPr>
          <w:rFonts w:ascii="宋体" w:hAnsi="宋体" w:cs="宋体" w:hint="eastAsia"/>
          <w:sz w:val="24"/>
          <w:highlight w:val="white"/>
          <w:lang w:eastAsia="zh-CN"/>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rsidR="00BC44E7" w14:paraId="6AFA0F06" w14:textId="77777777">
      <w:pPr>
        <w:snapToGrid w:val="0"/>
        <w:ind w:firstLine="480"/>
        <w:rPr>
          <w:rFonts w:ascii="宋体" w:hAnsi="宋体" w:cs="宋体"/>
          <w:sz w:val="24"/>
          <w:lang w:eastAsia="zh-CN"/>
        </w:rPr>
      </w:pPr>
      <w:r>
        <w:rPr>
          <w:rFonts w:ascii="宋体" w:hAnsi="宋体" w:cs="宋体" w:hint="eastAsia"/>
          <w:sz w:val="24"/>
          <w:highlight w:val="white"/>
          <w:lang w:eastAsia="zh-CN"/>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BC44E7" w14:paraId="161F3CD6" w14:textId="77777777">
      <w:pPr>
        <w:snapToGrid w:val="0"/>
        <w:ind w:firstLine="480"/>
        <w:rPr>
          <w:rFonts w:ascii="宋体" w:hAnsi="宋体" w:cs="宋体"/>
          <w:sz w:val="24"/>
          <w:lang w:eastAsia="zh-CN"/>
        </w:rPr>
      </w:pPr>
      <w:r>
        <w:rPr>
          <w:rFonts w:ascii="宋体" w:hAnsi="宋体" w:cs="宋体"/>
          <w:sz w:val="24"/>
          <w:highlight w:val="white"/>
          <w:lang w:eastAsia="zh-CN"/>
        </w:rPr>
        <w:t>3.</w:t>
      </w:r>
      <w:r>
        <w:rPr>
          <w:rFonts w:ascii="宋体" w:hAnsi="宋体" w:cs="宋体" w:hint="eastAsia"/>
          <w:sz w:val="24"/>
          <w:highlight w:val="white"/>
          <w:lang w:eastAsia="zh-CN"/>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BC44E7" w14:paraId="476DA7B2" w14:textId="77777777">
      <w:pPr>
        <w:snapToGrid w:val="0"/>
        <w:ind w:firstLine="480"/>
        <w:rPr>
          <w:rFonts w:ascii="宋体" w:hAnsi="宋体" w:cs="宋体"/>
          <w:sz w:val="24"/>
          <w:lang w:eastAsia="zh-CN"/>
        </w:rPr>
      </w:pPr>
      <w:r>
        <w:rPr>
          <w:rFonts w:ascii="宋体" w:hAnsi="宋体" w:cs="宋体" w:hint="eastAsia"/>
          <w:sz w:val="24"/>
          <w:highlight w:val="white"/>
          <w:lang w:eastAsia="zh-CN"/>
        </w:rPr>
        <w:t>（1）中国证监会批准发行非公开发行股票的批准文件。</w:t>
      </w:r>
    </w:p>
    <w:p w:rsidR="00BC44E7" w14:paraId="54C73C38" w14:textId="77777777">
      <w:pPr>
        <w:snapToGrid w:val="0"/>
        <w:ind w:firstLine="480"/>
        <w:rPr>
          <w:rFonts w:ascii="宋体" w:hAnsi="宋体" w:cs="宋体"/>
          <w:sz w:val="24"/>
          <w:lang w:eastAsia="zh-CN"/>
        </w:rPr>
      </w:pPr>
      <w:r>
        <w:rPr>
          <w:rFonts w:ascii="宋体" w:hAnsi="宋体" w:cs="宋体" w:hint="eastAsia"/>
          <w:sz w:val="24"/>
          <w:highlight w:val="white"/>
          <w:lang w:eastAsia="zh-CN"/>
        </w:rPr>
        <w:t>（2）非公开发行股票有关发行数量、发行价格、锁定期等发行资料。</w:t>
      </w:r>
    </w:p>
    <w:p w:rsidR="00BC44E7" w14:paraId="7A5E010A" w14:textId="77777777">
      <w:pPr>
        <w:snapToGrid w:val="0"/>
        <w:ind w:firstLine="480"/>
        <w:rPr>
          <w:rFonts w:ascii="宋体" w:hAnsi="宋体" w:cs="宋体"/>
          <w:sz w:val="24"/>
          <w:lang w:eastAsia="zh-CN"/>
        </w:rPr>
      </w:pPr>
      <w:r>
        <w:rPr>
          <w:rFonts w:ascii="宋体" w:hAnsi="宋体" w:cs="宋体" w:hint="eastAsia"/>
          <w:sz w:val="24"/>
          <w:highlight w:val="white"/>
          <w:lang w:eastAsia="zh-CN"/>
        </w:rPr>
        <w:t>（</w:t>
      </w:r>
      <w:r>
        <w:rPr>
          <w:rFonts w:ascii="宋体" w:hAnsi="宋体" w:cs="宋体"/>
          <w:sz w:val="24"/>
          <w:highlight w:val="white"/>
          <w:lang w:eastAsia="zh-CN"/>
        </w:rPr>
        <w:t>3）基金拟认购的数量、价格、总成本、账面价值。</w:t>
      </w:r>
    </w:p>
    <w:p w:rsidR="00BC44E7" w14:paraId="035ACE87" w14:textId="77777777">
      <w:pPr>
        <w:snapToGrid w:val="0"/>
        <w:ind w:firstLine="480"/>
        <w:rPr>
          <w:rFonts w:ascii="宋体" w:hAnsi="宋体" w:cs="宋体"/>
          <w:sz w:val="24"/>
          <w:lang w:eastAsia="zh-CN"/>
        </w:rPr>
      </w:pPr>
      <w:r>
        <w:rPr>
          <w:rFonts w:ascii="宋体" w:hAnsi="宋体" w:cs="宋体"/>
          <w:sz w:val="24"/>
          <w:highlight w:val="white"/>
          <w:lang w:eastAsia="zh-CN"/>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rsidR="00BC44E7" w14:paraId="4DB1C81D" w14:textId="77777777">
      <w:pPr>
        <w:ind w:firstLine="480"/>
        <w:rPr>
          <w:rFonts w:ascii="宋体" w:hAnsi="宋体" w:cs="宋体"/>
          <w:sz w:val="24"/>
          <w:lang w:eastAsia="zh-CN"/>
        </w:rPr>
      </w:pPr>
      <w:r>
        <w:rPr>
          <w:rFonts w:ascii="宋体" w:hAnsi="宋体" w:cs="宋体"/>
          <w:sz w:val="24"/>
          <w:highlight w:val="white"/>
          <w:lang w:eastAsia="zh-CN"/>
        </w:rPr>
        <w:t>本基金有关投资流通受限证券比例如违反有关限制规定，在合理期限内未能进行及时调整，基金管理人应按照《信息披露办法》的要求进行公告。</w:t>
      </w:r>
    </w:p>
    <w:p w:rsidR="00BC44E7" w14:paraId="3856EDC8" w14:textId="77777777">
      <w:pPr>
        <w:snapToGrid w:val="0"/>
        <w:ind w:firstLine="480"/>
        <w:rPr>
          <w:rFonts w:ascii="宋体" w:hAnsi="宋体" w:cs="宋体"/>
          <w:sz w:val="24"/>
          <w:lang w:eastAsia="zh-CN"/>
        </w:rPr>
      </w:pPr>
      <w:r>
        <w:rPr>
          <w:rFonts w:ascii="宋体" w:hAnsi="宋体" w:cs="宋体"/>
          <w:sz w:val="24"/>
          <w:highlight w:val="white"/>
          <w:lang w:eastAsia="zh-CN"/>
        </w:rPr>
        <w:t>5.相关法律法规对基金投资流通受限证券有新规定的，从其规定。</w:t>
      </w:r>
    </w:p>
    <w:p w:rsidR="00BC44E7" w14:paraId="79ECE50C" w14:textId="77777777">
      <w:pPr>
        <w:snapToGrid w:val="0"/>
        <w:ind w:firstLine="482"/>
        <w:rPr>
          <w:rFonts w:ascii="宋体" w:hAnsi="宋体" w:cs="宋体"/>
          <w:sz w:val="24"/>
          <w:lang w:eastAsia="zh-CN"/>
        </w:rPr>
      </w:pPr>
      <w:r>
        <w:rPr>
          <w:rFonts w:ascii="宋体" w:hAnsi="宋体" w:cs="宋体" w:hint="eastAsia"/>
          <w:sz w:val="24"/>
          <w:highlight w:val="white"/>
          <w:lang w:eastAsia="zh-CN"/>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rsidR="00BC44E7" w14:paraId="101C03EF" w14:textId="77777777">
      <w:pPr>
        <w:snapToGrid w:val="0"/>
        <w:ind w:firstLine="480"/>
        <w:rPr>
          <w:rFonts w:ascii="宋体" w:hAnsi="宋体" w:cs="宋体"/>
          <w:sz w:val="24"/>
          <w:lang w:eastAsia="zh-CN"/>
        </w:rPr>
      </w:pPr>
      <w:r>
        <w:rPr>
          <w:rFonts w:ascii="宋体" w:hAnsi="宋体" w:cs="宋体"/>
          <w:sz w:val="24"/>
          <w:highlight w:val="white"/>
          <w:lang w:eastAsia="zh-CN"/>
        </w:rPr>
        <w:t>（</w:t>
      </w:r>
      <w:r>
        <w:rPr>
          <w:rFonts w:ascii="宋体" w:hAnsi="宋体" w:cs="宋体" w:hint="eastAsia"/>
          <w:sz w:val="24"/>
          <w:highlight w:val="white"/>
          <w:lang w:eastAsia="zh-CN"/>
        </w:rPr>
        <w:t>六</w:t>
      </w:r>
      <w:r>
        <w:rPr>
          <w:rFonts w:ascii="宋体" w:hAnsi="宋体" w:cs="宋体"/>
          <w:sz w:val="24"/>
          <w:highlight w:val="white"/>
          <w:lang w:eastAsia="zh-CN"/>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BC44E7" w14:paraId="1DCFA3FE" w14:textId="77777777">
      <w:pPr>
        <w:snapToGrid w:val="0"/>
        <w:ind w:firstLine="480"/>
        <w:rPr>
          <w:rFonts w:ascii="宋体" w:hAnsi="宋体" w:cs="宋体"/>
          <w:sz w:val="24"/>
          <w:lang w:eastAsia="zh-CN"/>
        </w:rPr>
      </w:pPr>
      <w:r>
        <w:rPr>
          <w:rFonts w:ascii="宋体" w:hAnsi="宋体" w:cs="宋体" w:hint="eastAsia"/>
          <w:sz w:val="24"/>
          <w:highlight w:val="white"/>
          <w:lang w:eastAsia="zh-CN"/>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BC44E7" w14:paraId="41D31BA5" w14:textId="77777777">
      <w:pPr>
        <w:snapToGrid w:val="0"/>
        <w:ind w:firstLine="480"/>
        <w:rPr>
          <w:rFonts w:ascii="宋体" w:hAnsi="宋体" w:cs="宋体"/>
          <w:sz w:val="24"/>
          <w:lang w:eastAsia="zh-CN"/>
        </w:rPr>
      </w:pPr>
      <w:r>
        <w:rPr>
          <w:rFonts w:ascii="宋体" w:hAnsi="宋体" w:cs="宋体" w:hint="eastAsia"/>
          <w:sz w:val="24"/>
          <w:highlight w:val="white"/>
          <w:lang w:eastAsia="zh-CN"/>
        </w:rPr>
        <w:t>（八）若基金托管人发现基金管理人依据交易程序已经生效的指令违反法律、行政法规和其他有关规定，或者违反《基金合同》约定的，应当及时通知基金管理人，由此造成的损失由基金管理人承担。</w:t>
      </w:r>
    </w:p>
    <w:p w:rsidR="00BC44E7" w14:paraId="5AD850A5" w14:textId="77777777">
      <w:pPr>
        <w:snapToGrid w:val="0"/>
        <w:ind w:firstLine="480"/>
        <w:rPr>
          <w:rFonts w:ascii="宋体" w:hAnsi="宋体" w:cs="宋体"/>
          <w:sz w:val="24"/>
          <w:lang w:eastAsia="zh-CN"/>
        </w:rPr>
      </w:pPr>
      <w:r>
        <w:rPr>
          <w:rFonts w:ascii="宋体" w:hAnsi="宋体" w:cs="宋体" w:hint="eastAsia"/>
          <w:sz w:val="24"/>
          <w:highlight w:val="white"/>
          <w:lang w:eastAsia="zh-CN"/>
        </w:rPr>
        <w:t>（九）基金托管人发现基金管理人有重大违规行为，应及时报告中国证监会，同时通知基金管理人限期纠正，并将纠正结果报告中国证监会。基金管理人无正当理由，拒绝、阻挠托管人根据本托管协议规定行使监督权，或采取拖延、欺诈等手段妨碍托管人进行有效监督，情节严重或经基金托管人提出警告仍不改正的，基金托管人应报告中国证监会。</w:t>
      </w:r>
    </w:p>
    <w:p w:rsidR="00BC44E7" w14:paraId="379AC3A0" w14:textId="77777777">
      <w:pPr>
        <w:rPr>
          <w:rFonts w:ascii="宋体" w:hAnsi="宋体" w:cs="宋体"/>
          <w:sz w:val="24"/>
          <w:lang w:eastAsia="zh-CN"/>
        </w:rPr>
      </w:pPr>
    </w:p>
    <w:p w:rsidR="00BC44E7" w14:paraId="474FAA5D" w14:textId="77777777">
      <w:pPr>
        <w:pStyle w:val="21"/>
        <w:jc w:val="center"/>
        <w:rPr>
          <w:rFonts w:ascii="宋体" w:eastAsia="宋体" w:hAnsi="宋体" w:cs="宋体"/>
          <w:sz w:val="30"/>
          <w:lang w:eastAsia="zh-CN"/>
        </w:rPr>
      </w:pPr>
      <w:bookmarkStart w:id="6" w:name="_Toc68875906"/>
      <w:bookmarkStart w:id="7" w:name="_Toc89163368"/>
      <w:bookmarkStart w:id="8" w:name="_Toc118212950"/>
      <w:bookmarkStart w:id="9" w:name="_Toc110765660"/>
      <w:bookmarkStart w:id="10" w:name="_Toc110761796"/>
      <w:bookmarkStart w:id="11" w:name="_Toc86649722"/>
      <w:bookmarkStart w:id="12" w:name="_Toc86225291"/>
      <w:bookmarkStart w:id="13" w:name="_Toc110830492"/>
      <w:bookmarkStart w:id="14" w:name="_Toc118774803"/>
      <w:bookmarkStart w:id="15" w:name="_Toc108512358"/>
      <w:bookmarkStart w:id="16" w:name="_Toc119402710"/>
      <w:bookmarkStart w:id="17" w:name="_Toc86223242"/>
      <w:bookmarkStart w:id="18" w:name="_Toc118972648"/>
      <w:bookmarkStart w:id="19" w:name="_Toc120435783"/>
      <w:bookmarkStart w:id="20" w:name="_Toc86726439"/>
      <w:bookmarkStart w:id="21" w:name="_Toc86737929"/>
      <w:bookmarkStart w:id="22" w:name="_Toc86727355"/>
      <w:r>
        <w:rPr>
          <w:rFonts w:ascii="宋体" w:eastAsia="宋体" w:hAnsi="宋体" w:cs="宋体" w:hint="eastAsia"/>
          <w:sz w:val="30"/>
          <w:highlight w:val="white"/>
          <w:lang w:eastAsia="zh-CN"/>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BC44E7" w14:paraId="56479870" w14:textId="77777777">
      <w:pPr>
        <w:snapToGrid w:val="0"/>
        <w:ind w:firstLine="480"/>
        <w:rPr>
          <w:rFonts w:ascii="宋体" w:hAnsi="宋体" w:cs="宋体"/>
          <w:sz w:val="24"/>
          <w:lang w:eastAsia="zh-CN"/>
        </w:rPr>
      </w:pPr>
      <w:r>
        <w:rPr>
          <w:rFonts w:ascii="宋体" w:hAnsi="宋体" w:cs="宋体" w:hint="eastAsia"/>
          <w:sz w:val="24"/>
          <w:highlight w:val="white"/>
          <w:lang w:eastAsia="zh-CN"/>
        </w:rPr>
        <w:t>（一）基金管理人对基金托管人履行托管职责情况进行核查，核查事项包括基金托管人安全保管基金财产、开设基金财产的资金账户和证券账户、复核基金管理人计算的基金资产净值和各类基金份额净值、根据基金管理人指令办理清算交收、相关信息披露和监督基金投资运作等行为。</w:t>
      </w:r>
    </w:p>
    <w:p w:rsidR="00BC44E7" w14:paraId="13AFD4AF" w14:textId="77777777">
      <w:pPr>
        <w:snapToGrid w:val="0"/>
        <w:ind w:firstLine="480"/>
        <w:rPr>
          <w:rFonts w:ascii="宋体" w:hAnsi="宋体" w:cs="宋体"/>
          <w:sz w:val="24"/>
          <w:lang w:eastAsia="zh-CN"/>
        </w:rPr>
      </w:pPr>
      <w:r>
        <w:rPr>
          <w:rFonts w:ascii="宋体" w:hAnsi="宋体" w:cs="宋体"/>
          <w:sz w:val="24"/>
          <w:highlight w:val="white"/>
          <w:lang w:eastAsia="zh-CN"/>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BC44E7" w14:paraId="5B7F08CD" w14:textId="77777777">
      <w:pPr>
        <w:snapToGrid w:val="0"/>
        <w:ind w:firstLine="480"/>
        <w:rPr>
          <w:rFonts w:ascii="宋体" w:hAnsi="宋体" w:cs="宋体"/>
          <w:sz w:val="24"/>
          <w:lang w:eastAsia="zh-CN"/>
        </w:rPr>
      </w:pPr>
      <w:r>
        <w:rPr>
          <w:rFonts w:ascii="宋体" w:hAnsi="宋体" w:cs="宋体" w:hint="eastAsia"/>
          <w:sz w:val="24"/>
          <w:highlight w:val="white"/>
          <w:lang w:eastAsia="zh-CN"/>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BC44E7" w14:paraId="33818866" w14:textId="77777777">
      <w:pPr>
        <w:rPr>
          <w:rFonts w:ascii="宋体" w:hAnsi="宋体" w:cs="宋体"/>
          <w:sz w:val="24"/>
          <w:lang w:eastAsia="zh-CN"/>
        </w:rPr>
      </w:pPr>
    </w:p>
    <w:p w:rsidR="00BC44E7" w14:paraId="0B5A886D" w14:textId="77777777">
      <w:pPr>
        <w:pStyle w:val="21"/>
        <w:jc w:val="center"/>
        <w:rPr>
          <w:rFonts w:ascii="宋体" w:eastAsia="宋体" w:hAnsi="宋体" w:cs="宋体"/>
          <w:sz w:val="30"/>
          <w:lang w:eastAsia="zh-CN"/>
        </w:rPr>
      </w:pPr>
      <w:bookmarkStart w:id="23" w:name="_Toc86726440"/>
      <w:bookmarkStart w:id="24" w:name="_Toc110830493"/>
      <w:bookmarkStart w:id="25" w:name="_Toc89163369"/>
      <w:bookmarkStart w:id="26" w:name="_Toc84234435"/>
      <w:bookmarkStart w:id="27" w:name="_Toc86649723"/>
      <w:bookmarkStart w:id="28" w:name="_Toc86225292"/>
      <w:bookmarkStart w:id="29" w:name="_Toc68875907"/>
      <w:bookmarkStart w:id="30" w:name="_Toc119402711"/>
      <w:bookmarkStart w:id="31" w:name="_Toc86204789"/>
      <w:bookmarkStart w:id="32" w:name="_Toc84234388"/>
      <w:bookmarkStart w:id="33" w:name="_Toc118972649"/>
      <w:bookmarkStart w:id="34" w:name="_Toc110761797"/>
      <w:bookmarkStart w:id="35" w:name="_Toc118212951"/>
      <w:bookmarkStart w:id="36" w:name="_Toc86727356"/>
      <w:bookmarkStart w:id="37" w:name="_Toc86223243"/>
      <w:bookmarkStart w:id="38" w:name="_Toc84133786"/>
      <w:bookmarkStart w:id="39" w:name="_Toc110765661"/>
      <w:bookmarkStart w:id="40" w:name="_Toc108512359"/>
      <w:bookmarkStart w:id="41" w:name="_Toc120435784"/>
      <w:bookmarkStart w:id="42" w:name="_Toc118774804"/>
      <w:bookmarkStart w:id="43" w:name="_Toc86737930"/>
      <w:r>
        <w:rPr>
          <w:rFonts w:ascii="宋体" w:eastAsia="宋体" w:hAnsi="宋体" w:cs="宋体" w:hint="eastAsia"/>
          <w:sz w:val="30"/>
          <w:highlight w:val="white"/>
          <w:lang w:eastAsia="zh-CN"/>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BC44E7" w14:paraId="2B306922" w14:textId="77777777">
      <w:pPr>
        <w:snapToGrid w:val="0"/>
        <w:ind w:firstLine="480"/>
        <w:rPr>
          <w:rFonts w:ascii="宋体" w:hAnsi="宋体" w:cs="宋体"/>
          <w:sz w:val="24"/>
          <w:lang w:eastAsia="zh-CN"/>
        </w:rPr>
      </w:pPr>
      <w:r>
        <w:rPr>
          <w:rFonts w:ascii="宋体" w:hAnsi="宋体" w:cs="宋体" w:hint="eastAsia"/>
          <w:sz w:val="24"/>
          <w:highlight w:val="white"/>
          <w:lang w:eastAsia="zh-CN"/>
        </w:rPr>
        <w:t>（一）基金财产保管的原则</w:t>
      </w:r>
    </w:p>
    <w:p w:rsidR="00BC44E7" w14:paraId="7B3E0548" w14:textId="77777777">
      <w:pPr>
        <w:ind w:firstLine="480"/>
        <w:rPr>
          <w:rFonts w:ascii="宋体" w:hAnsi="宋体" w:cs="宋体"/>
          <w:sz w:val="24"/>
          <w:lang w:eastAsia="zh-CN"/>
        </w:rPr>
      </w:pPr>
      <w:r>
        <w:rPr>
          <w:rFonts w:ascii="宋体" w:hAnsi="宋体" w:cs="宋体" w:hint="eastAsia"/>
          <w:color w:val="000000"/>
          <w:sz w:val="24"/>
          <w:highlight w:val="white"/>
          <w:lang w:eastAsia="zh-CN"/>
        </w:rPr>
        <w:t>1.基金财产应独立于基金管理人、基金托管人的固有财产。</w:t>
      </w:r>
    </w:p>
    <w:p w:rsidR="00BC44E7" w14:paraId="155D8362" w14:textId="77777777">
      <w:pPr>
        <w:snapToGrid w:val="0"/>
        <w:ind w:firstLine="480"/>
        <w:rPr>
          <w:rFonts w:ascii="宋体" w:hAnsi="宋体" w:cs="宋体"/>
          <w:sz w:val="24"/>
          <w:lang w:eastAsia="zh-CN"/>
        </w:rPr>
      </w:pPr>
      <w:r>
        <w:rPr>
          <w:rFonts w:ascii="宋体" w:hAnsi="宋体" w:cs="宋体" w:hint="eastAsia"/>
          <w:sz w:val="24"/>
          <w:highlight w:val="white"/>
          <w:lang w:eastAsia="zh-CN"/>
        </w:rPr>
        <w:t>2.基金托管人应安全保管基金财产。</w:t>
      </w:r>
    </w:p>
    <w:p w:rsidR="00BC44E7" w14:paraId="3F86138E" w14:textId="77777777">
      <w:pPr>
        <w:snapToGrid w:val="0"/>
        <w:ind w:firstLine="480"/>
        <w:rPr>
          <w:rFonts w:ascii="宋体" w:hAnsi="宋体" w:cs="宋体"/>
          <w:sz w:val="24"/>
          <w:lang w:eastAsia="zh-CN"/>
        </w:rPr>
      </w:pPr>
      <w:r>
        <w:rPr>
          <w:rFonts w:ascii="宋体" w:hAnsi="宋体" w:cs="宋体" w:hint="eastAsia"/>
          <w:sz w:val="24"/>
          <w:highlight w:val="white"/>
          <w:lang w:eastAsia="zh-CN"/>
        </w:rPr>
        <w:t>3.基金托管人按照规定开设基金财产的资金账户和证券账户。</w:t>
      </w:r>
    </w:p>
    <w:p w:rsidR="00BC44E7" w14:paraId="15A8F6F8" w14:textId="77777777">
      <w:pPr>
        <w:snapToGrid w:val="0"/>
        <w:ind w:firstLine="480"/>
        <w:rPr>
          <w:rFonts w:ascii="宋体" w:hAnsi="宋体" w:cs="宋体"/>
          <w:sz w:val="24"/>
          <w:lang w:eastAsia="zh-CN"/>
        </w:rPr>
      </w:pPr>
      <w:r>
        <w:rPr>
          <w:rFonts w:ascii="宋体" w:hAnsi="宋体" w:cs="宋体" w:hint="eastAsia"/>
          <w:sz w:val="24"/>
          <w:highlight w:val="white"/>
          <w:lang w:eastAsia="zh-CN"/>
        </w:rPr>
        <w:t>4.基金托管人对所托管的不同基金财产分别设置账户，确保基金财产的完整与独立。</w:t>
      </w:r>
    </w:p>
    <w:p w:rsidR="00BC44E7" w14:paraId="0E174D68" w14:textId="77777777">
      <w:pPr>
        <w:snapToGrid w:val="0"/>
        <w:ind w:firstLine="480"/>
        <w:rPr>
          <w:rFonts w:ascii="宋体" w:hAnsi="宋体" w:cs="宋体"/>
          <w:sz w:val="24"/>
          <w:lang w:eastAsia="zh-CN"/>
        </w:rPr>
      </w:pPr>
      <w:r>
        <w:rPr>
          <w:rFonts w:ascii="宋体" w:hAnsi="宋体" w:cs="宋体" w:hint="eastAsia"/>
          <w:sz w:val="24"/>
          <w:highlight w:val="white"/>
          <w:lang w:eastAsia="zh-CN"/>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BC44E7" w14:paraId="2F0142EF" w14:textId="77777777">
      <w:pPr>
        <w:snapToGrid w:val="0"/>
        <w:ind w:firstLine="480"/>
        <w:rPr>
          <w:rFonts w:ascii="宋体" w:hAnsi="宋体" w:cs="宋体"/>
          <w:sz w:val="24"/>
          <w:lang w:eastAsia="zh-CN"/>
        </w:rPr>
      </w:pPr>
      <w:r>
        <w:rPr>
          <w:rFonts w:ascii="宋体" w:hAnsi="宋体" w:cs="宋体" w:hint="eastAsia"/>
          <w:sz w:val="24"/>
          <w:highlight w:val="white"/>
          <w:lang w:eastAsia="zh-CN"/>
        </w:rPr>
        <w:t>6.对于因为基金投资产生的应收资产，如基金托管人无法从公开信息或基金管理人提供的书面资料中获取到账日期信息的，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BC44E7" w14:paraId="5E718E7C" w14:textId="77777777">
      <w:pPr>
        <w:snapToGrid w:val="0"/>
        <w:ind w:firstLine="480"/>
        <w:rPr>
          <w:rFonts w:ascii="宋体" w:hAnsi="宋体" w:cs="宋体"/>
          <w:sz w:val="24"/>
          <w:lang w:eastAsia="zh-CN"/>
        </w:rPr>
      </w:pPr>
      <w:r>
        <w:rPr>
          <w:rFonts w:ascii="宋体" w:hAnsi="宋体" w:cs="宋体" w:hint="eastAsia"/>
          <w:sz w:val="24"/>
          <w:highlight w:val="white"/>
          <w:lang w:eastAsia="zh-CN"/>
        </w:rPr>
        <w:t>7.除依据法律法规和《基金合同》的规定外，基金托管人不得委托第三人托管基金财产。</w:t>
      </w:r>
    </w:p>
    <w:p w:rsidR="00BC44E7" w14:paraId="457405B6" w14:textId="77777777">
      <w:pPr>
        <w:snapToGrid w:val="0"/>
        <w:ind w:firstLine="480"/>
        <w:rPr>
          <w:rFonts w:ascii="宋体" w:hAnsi="宋体" w:cs="宋体"/>
          <w:sz w:val="24"/>
          <w:lang w:eastAsia="zh-CN"/>
        </w:rPr>
      </w:pPr>
      <w:r>
        <w:rPr>
          <w:rFonts w:ascii="宋体" w:hAnsi="宋体" w:cs="宋体" w:hint="eastAsia"/>
          <w:sz w:val="24"/>
          <w:highlight w:val="white"/>
          <w:lang w:eastAsia="zh-CN"/>
        </w:rPr>
        <w:t>（二）基金募集期间及募集资金的验资</w:t>
      </w:r>
    </w:p>
    <w:p w:rsidR="00BC44E7" w14:paraId="0F0BE8B8" w14:textId="77777777">
      <w:pPr>
        <w:snapToGrid w:val="0"/>
        <w:ind w:firstLine="480"/>
        <w:rPr>
          <w:rFonts w:ascii="宋体" w:hAnsi="宋体" w:cs="宋体"/>
          <w:sz w:val="24"/>
          <w:lang w:eastAsia="zh-CN"/>
        </w:rPr>
      </w:pPr>
      <w:r>
        <w:rPr>
          <w:rFonts w:ascii="宋体" w:hAnsi="宋体" w:cs="宋体" w:hint="eastAsia"/>
          <w:sz w:val="24"/>
          <w:highlight w:val="white"/>
          <w:lang w:eastAsia="zh-CN"/>
        </w:rPr>
        <w:t>1.基金募集期间</w:t>
      </w:r>
      <w:r>
        <w:rPr>
          <w:rFonts w:ascii="宋体" w:hAnsi="宋体" w:cs="宋体"/>
          <w:sz w:val="24"/>
          <w:highlight w:val="white"/>
          <w:lang w:eastAsia="zh-CN"/>
        </w:rPr>
        <w:t>募集的</w:t>
      </w:r>
      <w:r>
        <w:rPr>
          <w:rFonts w:ascii="宋体" w:hAnsi="宋体" w:cs="宋体" w:hint="eastAsia"/>
          <w:sz w:val="24"/>
          <w:highlight w:val="white"/>
          <w:lang w:eastAsia="zh-CN"/>
        </w:rPr>
        <w:t>资</w:t>
      </w:r>
      <w:r>
        <w:rPr>
          <w:rFonts w:ascii="宋体" w:hAnsi="宋体" w:cs="宋体"/>
          <w:sz w:val="24"/>
          <w:highlight w:val="white"/>
          <w:lang w:eastAsia="zh-CN"/>
        </w:rPr>
        <w:t>金</w:t>
      </w:r>
      <w:r>
        <w:rPr>
          <w:rFonts w:ascii="宋体" w:hAnsi="宋体" w:cs="宋体" w:hint="eastAsia"/>
          <w:sz w:val="24"/>
          <w:highlight w:val="white"/>
          <w:lang w:eastAsia="zh-CN"/>
        </w:rPr>
        <w:t>应</w:t>
      </w:r>
      <w:r>
        <w:rPr>
          <w:rFonts w:ascii="宋体" w:hAnsi="宋体" w:cs="宋体"/>
          <w:sz w:val="24"/>
          <w:highlight w:val="white"/>
          <w:lang w:eastAsia="zh-CN"/>
        </w:rPr>
        <w:t>存于基金管理人在基金托管人的</w:t>
      </w:r>
      <w:r>
        <w:rPr>
          <w:rFonts w:ascii="宋体" w:hAnsi="宋体" w:cs="宋体" w:hint="eastAsia"/>
          <w:sz w:val="24"/>
          <w:highlight w:val="white"/>
          <w:lang w:eastAsia="zh-CN"/>
        </w:rPr>
        <w:t>营业</w:t>
      </w:r>
      <w:r>
        <w:rPr>
          <w:rFonts w:ascii="宋体" w:hAnsi="宋体" w:cs="宋体"/>
          <w:sz w:val="24"/>
          <w:highlight w:val="white"/>
          <w:lang w:eastAsia="zh-CN"/>
        </w:rPr>
        <w:t>机构开立的“基金募集</w:t>
      </w:r>
      <w:r>
        <w:rPr>
          <w:rFonts w:ascii="宋体" w:hAnsi="宋体" w:cs="宋体" w:hint="eastAsia"/>
          <w:sz w:val="24"/>
          <w:highlight w:val="white"/>
          <w:lang w:eastAsia="zh-CN"/>
        </w:rPr>
        <w:t>专户</w:t>
      </w:r>
      <w:r>
        <w:rPr>
          <w:rFonts w:ascii="宋体" w:hAnsi="宋体" w:cs="宋体"/>
          <w:sz w:val="24"/>
          <w:highlight w:val="white"/>
          <w:lang w:eastAsia="zh-CN"/>
        </w:rPr>
        <w:t>”。</w:t>
      </w:r>
      <w:r>
        <w:rPr>
          <w:rFonts w:ascii="宋体" w:hAnsi="宋体" w:cs="宋体" w:hint="eastAsia"/>
          <w:sz w:val="24"/>
          <w:highlight w:val="white"/>
          <w:lang w:eastAsia="zh-CN"/>
        </w:rPr>
        <w:t>该账户</w:t>
      </w:r>
      <w:r>
        <w:rPr>
          <w:rFonts w:ascii="宋体" w:hAnsi="宋体" w:cs="宋体"/>
          <w:sz w:val="24"/>
          <w:highlight w:val="white"/>
          <w:lang w:eastAsia="zh-CN"/>
        </w:rPr>
        <w:t>由基金管理人开立并管理</w:t>
      </w:r>
      <w:r>
        <w:rPr>
          <w:rFonts w:ascii="宋体" w:hAnsi="宋体" w:cs="宋体" w:hint="eastAsia"/>
          <w:sz w:val="24"/>
          <w:highlight w:val="white"/>
          <w:lang w:eastAsia="zh-CN"/>
        </w:rPr>
        <w:t>。</w:t>
      </w:r>
    </w:p>
    <w:p w:rsidR="00BC44E7" w14:paraId="56EB86E7" w14:textId="77777777">
      <w:pPr>
        <w:snapToGrid w:val="0"/>
        <w:ind w:firstLine="480"/>
        <w:rPr>
          <w:rFonts w:ascii="宋体" w:hAnsi="宋体" w:cs="宋体"/>
          <w:sz w:val="24"/>
          <w:lang w:eastAsia="zh-CN"/>
        </w:rPr>
      </w:pPr>
      <w:r>
        <w:rPr>
          <w:rFonts w:ascii="宋体" w:hAnsi="宋体" w:cs="宋体" w:hint="eastAsia"/>
          <w:sz w:val="24"/>
          <w:highlight w:val="white"/>
          <w:lang w:eastAsia="zh-CN"/>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出具的验资报告由参加验资的2名或2名以上中国注册会计师签字方为有效。</w:t>
      </w:r>
    </w:p>
    <w:p w:rsidR="00BC44E7" w14:paraId="24A31E44" w14:textId="77777777">
      <w:pPr>
        <w:snapToGrid w:val="0"/>
        <w:ind w:firstLine="480"/>
        <w:rPr>
          <w:rFonts w:ascii="宋体" w:hAnsi="宋体" w:cs="宋体"/>
          <w:sz w:val="24"/>
          <w:lang w:eastAsia="zh-CN"/>
        </w:rPr>
      </w:pPr>
      <w:r>
        <w:rPr>
          <w:rFonts w:ascii="宋体" w:hAnsi="宋体" w:cs="宋体" w:hint="eastAsia"/>
          <w:sz w:val="24"/>
          <w:highlight w:val="white"/>
          <w:lang w:eastAsia="zh-CN"/>
        </w:rPr>
        <w:t>3.若基金募集期限届满，未能达到《基金合同》生效的条件，由基金管理人按规定办理退款等事宜。</w:t>
      </w:r>
    </w:p>
    <w:p w:rsidR="00BC44E7" w14:paraId="20CCE215" w14:textId="77777777">
      <w:pPr>
        <w:snapToGrid w:val="0"/>
        <w:ind w:firstLine="480"/>
        <w:rPr>
          <w:rFonts w:ascii="宋体" w:hAnsi="宋体" w:cs="宋体"/>
          <w:sz w:val="24"/>
          <w:lang w:eastAsia="zh-CN"/>
        </w:rPr>
      </w:pPr>
      <w:r>
        <w:rPr>
          <w:rFonts w:ascii="宋体" w:hAnsi="宋体" w:cs="宋体" w:hint="eastAsia"/>
          <w:sz w:val="24"/>
          <w:highlight w:val="white"/>
          <w:lang w:eastAsia="zh-CN"/>
        </w:rPr>
        <w:t>（三）基金托管资金账户的开立和管理</w:t>
      </w:r>
    </w:p>
    <w:p w:rsidR="00BC44E7" w14:paraId="6F0A0F20" w14:textId="77777777">
      <w:pPr>
        <w:snapToGrid w:val="0"/>
        <w:ind w:firstLine="480"/>
        <w:rPr>
          <w:rFonts w:ascii="宋体" w:hAnsi="宋体" w:cs="宋体"/>
          <w:sz w:val="24"/>
          <w:lang w:eastAsia="zh-CN"/>
        </w:rPr>
      </w:pPr>
      <w:r>
        <w:rPr>
          <w:rFonts w:ascii="宋体" w:hAnsi="宋体" w:cs="宋体" w:hint="eastAsia"/>
          <w:sz w:val="24"/>
          <w:highlight w:val="white"/>
          <w:lang w:eastAsia="zh-CN"/>
        </w:rPr>
        <w:t>1.基金托管人可以基金的名义在其营业机构开立基金的托管资金账户，并根据基金管理人合法合规的指令办理资金收付。本基金的银行预留印鉴由基金托管人保管和使用。</w:t>
      </w:r>
    </w:p>
    <w:p w:rsidR="00BC44E7" w14:paraId="6FF3341C" w14:textId="77777777">
      <w:pPr>
        <w:snapToGrid w:val="0"/>
        <w:ind w:firstLine="480"/>
        <w:rPr>
          <w:rFonts w:ascii="宋体" w:hAnsi="宋体" w:cs="宋体"/>
          <w:sz w:val="24"/>
          <w:lang w:eastAsia="zh-CN"/>
        </w:rPr>
      </w:pPr>
      <w:r>
        <w:rPr>
          <w:rFonts w:ascii="宋体" w:hAnsi="宋体" w:cs="宋体" w:hint="eastAsia"/>
          <w:sz w:val="24"/>
          <w:highlight w:val="white"/>
          <w:lang w:eastAsia="zh-CN"/>
        </w:rPr>
        <w:t>2.基金托管资金账户的开立和使用，限于满足开展本基金业务的需要。基金托管人和基金管理人不得假借本基金的名义开立任何其他银行账户；亦不得使用基金的任何账户进行本基金业务以外的活动。</w:t>
      </w:r>
    </w:p>
    <w:p w:rsidR="00BC44E7" w14:paraId="60230F2E" w14:textId="77777777">
      <w:pPr>
        <w:snapToGrid w:val="0"/>
        <w:ind w:firstLine="480"/>
        <w:rPr>
          <w:rFonts w:ascii="宋体" w:hAnsi="宋体" w:cs="宋体"/>
          <w:sz w:val="24"/>
          <w:lang w:eastAsia="zh-CN"/>
        </w:rPr>
      </w:pPr>
      <w:r>
        <w:rPr>
          <w:rFonts w:ascii="宋体" w:hAnsi="宋体" w:cs="宋体" w:hint="eastAsia"/>
          <w:sz w:val="24"/>
          <w:highlight w:val="white"/>
          <w:lang w:eastAsia="zh-CN"/>
        </w:rPr>
        <w:t>3.基金托管资金账户的开立和管理应符合银行业监督管理机构的有关规定。</w:t>
      </w:r>
    </w:p>
    <w:p w:rsidR="00BC44E7" w14:paraId="3C0A3F0A" w14:textId="77777777">
      <w:pPr>
        <w:snapToGrid w:val="0"/>
        <w:ind w:firstLine="480"/>
        <w:rPr>
          <w:rFonts w:ascii="宋体" w:hAnsi="宋体" w:cs="宋体"/>
          <w:sz w:val="24"/>
          <w:lang w:eastAsia="zh-CN"/>
        </w:rPr>
      </w:pPr>
      <w:r>
        <w:rPr>
          <w:rFonts w:ascii="宋体" w:hAnsi="宋体" w:cs="宋体" w:hint="eastAsia"/>
          <w:sz w:val="24"/>
          <w:highlight w:val="white"/>
          <w:lang w:eastAsia="zh-CN"/>
        </w:rPr>
        <w:t>4.在符合法律法规规定的条件下，基金托管人可以通过基金托管人专用账户办理基金资产的支付。</w:t>
      </w:r>
    </w:p>
    <w:p w:rsidR="00BC44E7" w14:paraId="7021289D" w14:textId="77777777">
      <w:pPr>
        <w:snapToGrid w:val="0"/>
        <w:ind w:firstLine="480"/>
        <w:rPr>
          <w:rFonts w:ascii="宋体" w:hAnsi="宋体" w:cs="宋体"/>
          <w:sz w:val="24"/>
          <w:lang w:eastAsia="zh-CN"/>
        </w:rPr>
      </w:pPr>
      <w:r>
        <w:rPr>
          <w:rFonts w:ascii="宋体" w:hAnsi="宋体" w:cs="宋体" w:hint="eastAsia"/>
          <w:sz w:val="24"/>
          <w:highlight w:val="white"/>
          <w:lang w:eastAsia="zh-CN"/>
        </w:rPr>
        <w:t>5.基金管理人应于产品终止后及时完成收益兑付、费用结清及其他应收应付款项资金划转，在确保后续不再发生款项进出后的10个工作日内向基金托管人发出销户申请。</w:t>
      </w:r>
    </w:p>
    <w:p w:rsidR="00BC44E7" w14:paraId="432001E6" w14:textId="77777777">
      <w:pPr>
        <w:snapToGrid w:val="0"/>
        <w:ind w:firstLine="480"/>
        <w:rPr>
          <w:rFonts w:ascii="宋体" w:hAnsi="宋体" w:cs="宋体"/>
          <w:sz w:val="24"/>
          <w:lang w:eastAsia="zh-CN"/>
        </w:rPr>
      </w:pPr>
      <w:r>
        <w:rPr>
          <w:rFonts w:ascii="宋体" w:hAnsi="宋体" w:cs="宋体" w:hint="eastAsia"/>
          <w:sz w:val="24"/>
          <w:highlight w:val="white"/>
          <w:lang w:eastAsia="zh-CN"/>
        </w:rPr>
        <w:t>（四）基金证券账户和结算备付金账户的开立和管理</w:t>
      </w:r>
    </w:p>
    <w:p w:rsidR="00BC44E7" w14:paraId="3DF5BFED" w14:textId="77777777">
      <w:pPr>
        <w:snapToGrid w:val="0"/>
        <w:ind w:firstLine="480"/>
        <w:rPr>
          <w:rFonts w:ascii="宋体" w:hAnsi="宋体" w:cs="宋体"/>
          <w:sz w:val="24"/>
          <w:lang w:eastAsia="zh-CN"/>
        </w:rPr>
      </w:pPr>
      <w:r>
        <w:rPr>
          <w:rFonts w:ascii="宋体" w:hAnsi="宋体" w:cs="宋体" w:hint="eastAsia"/>
          <w:sz w:val="24"/>
          <w:highlight w:val="white"/>
          <w:lang w:eastAsia="zh-CN"/>
        </w:rPr>
        <w:t>1.基金托管人在中国证券登记结算有限责任公司为基金开立基金托管人与基金联名的证券账户。</w:t>
      </w:r>
    </w:p>
    <w:p w:rsidR="00BC44E7" w14:paraId="17D0CC1B" w14:textId="77777777">
      <w:pPr>
        <w:snapToGrid w:val="0"/>
        <w:ind w:firstLine="480"/>
        <w:rPr>
          <w:rFonts w:ascii="宋体" w:hAnsi="宋体" w:cs="宋体"/>
          <w:sz w:val="24"/>
          <w:lang w:eastAsia="zh-CN"/>
        </w:rPr>
      </w:pPr>
      <w:r>
        <w:rPr>
          <w:rFonts w:ascii="宋体" w:hAnsi="宋体" w:cs="宋体" w:hint="eastAsia"/>
          <w:sz w:val="24"/>
          <w:highlight w:val="white"/>
          <w:lang w:eastAsia="zh-CN"/>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BC44E7" w14:paraId="4032D597" w14:textId="77777777">
      <w:pPr>
        <w:snapToGrid w:val="0"/>
        <w:ind w:firstLine="480"/>
        <w:rPr>
          <w:rFonts w:ascii="宋体" w:hAnsi="宋体" w:cs="宋体"/>
          <w:sz w:val="24"/>
          <w:lang w:eastAsia="zh-CN"/>
        </w:rPr>
      </w:pPr>
      <w:r>
        <w:rPr>
          <w:rFonts w:ascii="宋体" w:hAnsi="宋体" w:cs="宋体" w:hint="eastAsia"/>
          <w:sz w:val="24"/>
          <w:highlight w:val="white"/>
          <w:lang w:eastAsia="zh-CN"/>
        </w:rPr>
        <w:t>3.基金证券账户的开立和证券账户卡的保管由基金托管人负责，账户资产的管理和运用由基金管理人负责。</w:t>
      </w:r>
    </w:p>
    <w:p w:rsidR="00BC44E7" w14:paraId="7938DB04" w14:textId="77777777">
      <w:pPr>
        <w:snapToGrid w:val="0"/>
        <w:ind w:firstLine="480"/>
        <w:rPr>
          <w:rFonts w:ascii="宋体" w:hAnsi="宋体" w:cs="宋体"/>
          <w:sz w:val="24"/>
          <w:lang w:eastAsia="zh-CN"/>
        </w:rPr>
      </w:pPr>
      <w:r>
        <w:rPr>
          <w:rFonts w:ascii="宋体" w:hAnsi="宋体" w:cs="宋体" w:hint="eastAsia"/>
          <w:sz w:val="24"/>
          <w:highlight w:val="white"/>
          <w:lang w:eastAsia="zh-CN"/>
        </w:rPr>
        <w:t>证券账户开户费由基金管理人先行垫付,待托管产品起始运营后</w:t>
      </w:r>
      <w:r>
        <w:rPr>
          <w:rFonts w:ascii="宋体" w:hAnsi="宋体" w:cs="宋体"/>
          <w:sz w:val="24"/>
          <w:highlight w:val="white"/>
          <w:lang w:eastAsia="zh-CN"/>
        </w:rPr>
        <w:t>,</w:t>
      </w:r>
      <w:r>
        <w:rPr>
          <w:rFonts w:ascii="宋体" w:hAnsi="宋体" w:cs="宋体" w:hint="eastAsia"/>
          <w:sz w:val="24"/>
          <w:highlight w:val="white"/>
          <w:lang w:eastAsia="zh-CN"/>
        </w:rPr>
        <w:t>基金管理人可向基金托管人发送划款指令,将代垫开户费从本基金托管资金账户中扣还基金管理人。</w:t>
      </w:r>
    </w:p>
    <w:p w:rsidR="00BC44E7" w14:paraId="15372E81" w14:textId="77777777">
      <w:pPr>
        <w:snapToGrid w:val="0"/>
        <w:ind w:firstLine="480"/>
        <w:rPr>
          <w:rFonts w:ascii="宋体" w:hAnsi="宋体" w:cs="宋体"/>
          <w:sz w:val="24"/>
          <w:lang w:eastAsia="zh-CN"/>
        </w:rPr>
      </w:pPr>
      <w:r>
        <w:rPr>
          <w:rFonts w:ascii="宋体" w:hAnsi="宋体" w:cs="宋体" w:hint="eastAsia"/>
          <w:sz w:val="24"/>
          <w:highlight w:val="white"/>
          <w:lang w:eastAsia="zh-CN"/>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BC44E7" w14:paraId="00FFBCB2" w14:textId="77777777">
      <w:pPr>
        <w:snapToGrid w:val="0"/>
        <w:ind w:firstLine="480"/>
        <w:rPr>
          <w:rFonts w:ascii="宋体" w:hAnsi="宋体" w:cs="宋体"/>
          <w:sz w:val="24"/>
          <w:lang w:eastAsia="zh-CN"/>
        </w:rPr>
      </w:pPr>
      <w:r>
        <w:rPr>
          <w:rFonts w:ascii="宋体" w:hAnsi="宋体" w:cs="宋体" w:hint="eastAsia"/>
          <w:sz w:val="24"/>
          <w:highlight w:val="white"/>
          <w:lang w:eastAsia="zh-CN"/>
        </w:rPr>
        <w:t>5.账户注销时，在遵守中国证券登记结算公司的相关规定下，由管理人和托管人协商确认主要办理人。账户注销期间，主要办理人如需另一方提供配合的，另一方应予以配合。</w:t>
      </w:r>
    </w:p>
    <w:p w:rsidR="00BC44E7" w14:paraId="6DF6A41F" w14:textId="77777777">
      <w:pPr>
        <w:snapToGrid w:val="0"/>
        <w:ind w:firstLine="480"/>
        <w:rPr>
          <w:rFonts w:ascii="宋体" w:hAnsi="宋体" w:cs="宋体"/>
          <w:sz w:val="24"/>
          <w:lang w:eastAsia="zh-CN"/>
        </w:rPr>
      </w:pPr>
      <w:r>
        <w:rPr>
          <w:rFonts w:ascii="宋体" w:hAnsi="宋体" w:cs="宋体" w:hint="eastAsia"/>
          <w:sz w:val="24"/>
          <w:highlight w:val="white"/>
          <w:lang w:eastAsia="zh-CN"/>
        </w:rPr>
        <w:t>6.若中国证监会或其他监管机构在本托管协议订立日之后允许基金从事其他投资品种的投资业务，涉及相关账户的开立、使用的，若无相关规定，则基金托管人比照上述关于账户开立、使用的规定执行。</w:t>
      </w:r>
    </w:p>
    <w:p w:rsidR="00BC44E7" w14:paraId="2A032097" w14:textId="77777777">
      <w:pPr>
        <w:snapToGrid w:val="0"/>
        <w:ind w:firstLine="480"/>
        <w:rPr>
          <w:rFonts w:ascii="宋体" w:hAnsi="宋体" w:cs="宋体"/>
          <w:sz w:val="24"/>
          <w:lang w:eastAsia="zh-CN"/>
        </w:rPr>
      </w:pPr>
      <w:r>
        <w:rPr>
          <w:rFonts w:ascii="宋体" w:hAnsi="宋体" w:cs="宋体" w:hint="eastAsia"/>
          <w:sz w:val="24"/>
          <w:highlight w:val="white"/>
          <w:lang w:eastAsia="zh-CN"/>
        </w:rPr>
        <w:t>（五）银行间账户的开设和管理</w:t>
      </w:r>
    </w:p>
    <w:p w:rsidR="00BC44E7" w14:paraId="55061274" w14:textId="77777777">
      <w:pPr>
        <w:snapToGrid w:val="0"/>
        <w:ind w:firstLine="480"/>
        <w:rPr>
          <w:rFonts w:ascii="宋体" w:hAnsi="宋体" w:cs="宋体"/>
          <w:sz w:val="24"/>
          <w:lang w:eastAsia="zh-CN"/>
        </w:rPr>
      </w:pPr>
      <w:r>
        <w:rPr>
          <w:rFonts w:ascii="宋体" w:hAnsi="宋体" w:cs="宋体" w:hint="eastAsia"/>
          <w:sz w:val="24"/>
          <w:highlight w:val="white"/>
          <w:lang w:eastAsia="zh-CN"/>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rsidR="00BC44E7" w14:paraId="64FEBE8F" w14:textId="77777777">
      <w:pPr>
        <w:ind w:firstLine="480"/>
        <w:rPr>
          <w:rFonts w:ascii="宋体" w:hAnsi="宋体" w:cs="宋体"/>
          <w:sz w:val="24"/>
          <w:lang w:eastAsia="zh-CN"/>
        </w:rPr>
      </w:pPr>
      <w:r>
        <w:rPr>
          <w:rFonts w:ascii="宋体" w:hAnsi="宋体" w:cs="宋体" w:hint="eastAsia"/>
          <w:sz w:val="24"/>
          <w:highlight w:val="white"/>
          <w:lang w:eastAsia="zh-CN"/>
        </w:rPr>
        <w:t>（六）开放式基金账户的开设和管理</w:t>
      </w:r>
    </w:p>
    <w:p w:rsidR="00BC44E7" w14:paraId="1BE16CA9" w14:textId="77777777">
      <w:pPr>
        <w:ind w:firstLine="480"/>
        <w:rPr>
          <w:lang w:eastAsia="zh-CN"/>
        </w:rPr>
      </w:pPr>
      <w:r>
        <w:rPr>
          <w:rFonts w:ascii="宋体" w:hAnsi="宋体" w:cs="宋体" w:hint="eastAsia"/>
          <w:sz w:val="24"/>
          <w:highlight w:val="white"/>
          <w:lang w:eastAsia="zh-CN"/>
        </w:rPr>
        <w:t>场外开放式基金账户由管理人根据基金公司要求填写相关资料后开立。管理人应指定托管资金账户作为开放式基金交易及回款的唯一结算账户。管理人应及时将开放式基金账户的信息发送托管人。</w:t>
      </w:r>
    </w:p>
    <w:p w:rsidR="00BC44E7" w14:paraId="32125AC6" w14:textId="77777777">
      <w:pPr>
        <w:ind w:firstLine="480"/>
        <w:rPr>
          <w:rFonts w:ascii="宋体" w:hAnsi="宋体" w:cs="宋体"/>
          <w:sz w:val="24"/>
          <w:lang w:eastAsia="zh-CN"/>
        </w:rPr>
      </w:pPr>
      <w:r>
        <w:rPr>
          <w:rFonts w:ascii="宋体" w:hAnsi="宋体" w:cs="宋体" w:hint="eastAsia"/>
          <w:sz w:val="24"/>
          <w:highlight w:val="white"/>
          <w:lang w:eastAsia="zh-CN"/>
        </w:rPr>
        <w:t>管理人选择通过机构投资者场外投资业务平台（简称"FISP"）参与开放式基金投资的，应由投资管理人在FISP系统登记产品信息（包含托管人信息），由托管人对银行账户信息进行验证。产品登记成功后，由投资管理人在线向基金销售机构提交开户申请，账户开立信息通过FISP反馈投资管理人和托管人。</w:t>
      </w:r>
    </w:p>
    <w:p w:rsidR="00BC44E7" w14:paraId="05312D6F" w14:textId="77777777">
      <w:pPr>
        <w:ind w:firstLine="480"/>
        <w:rPr>
          <w:rFonts w:ascii="宋体" w:hAnsi="宋体" w:cs="宋体"/>
          <w:sz w:val="24"/>
          <w:lang w:eastAsia="zh-CN"/>
        </w:rPr>
      </w:pPr>
      <w:r>
        <w:rPr>
          <w:rFonts w:ascii="宋体" w:hAnsi="宋体" w:cs="宋体" w:hint="eastAsia"/>
          <w:sz w:val="24"/>
          <w:highlight w:val="white"/>
          <w:lang w:eastAsia="zh-CN"/>
        </w:rPr>
        <w:t>（七）其他账户的开立和管理</w:t>
      </w:r>
    </w:p>
    <w:p w:rsidR="00BC44E7" w14:paraId="4AA8A416" w14:textId="77777777">
      <w:pPr>
        <w:snapToGrid w:val="0"/>
        <w:ind w:firstLine="480"/>
        <w:rPr>
          <w:rFonts w:ascii="宋体" w:hAnsi="宋体" w:cs="宋体"/>
          <w:sz w:val="24"/>
          <w:lang w:eastAsia="zh-CN"/>
        </w:rPr>
      </w:pPr>
      <w:r>
        <w:rPr>
          <w:rFonts w:ascii="宋体" w:hAnsi="宋体" w:cs="宋体" w:hint="eastAsia"/>
          <w:sz w:val="24"/>
          <w:highlight w:val="white"/>
          <w:lang w:eastAsia="zh-CN"/>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BC44E7" w14:paraId="42ABB2A3" w14:textId="77777777">
      <w:pPr>
        <w:snapToGrid w:val="0"/>
        <w:ind w:firstLine="480"/>
        <w:rPr>
          <w:rFonts w:ascii="宋体" w:hAnsi="宋体" w:cs="宋体"/>
          <w:sz w:val="24"/>
          <w:lang w:eastAsia="zh-CN"/>
        </w:rPr>
      </w:pPr>
      <w:r>
        <w:rPr>
          <w:rFonts w:ascii="宋体" w:hAnsi="宋体" w:cs="宋体" w:hint="eastAsia"/>
          <w:sz w:val="24"/>
          <w:highlight w:val="white"/>
          <w:lang w:eastAsia="zh-CN"/>
        </w:rPr>
        <w:t>2.法律法规等有关规定对相关账户的开立和管理另有规定的，从其规定办理。</w:t>
      </w:r>
    </w:p>
    <w:p w:rsidR="00BC44E7" w14:paraId="4FF0FE77" w14:textId="77777777">
      <w:pPr>
        <w:snapToGrid w:val="0"/>
        <w:ind w:firstLine="480"/>
        <w:rPr>
          <w:rFonts w:ascii="宋体" w:hAnsi="宋体" w:cs="宋体"/>
          <w:sz w:val="24"/>
          <w:lang w:eastAsia="zh-CN"/>
        </w:rPr>
      </w:pPr>
      <w:r>
        <w:rPr>
          <w:rFonts w:ascii="宋体" w:hAnsi="宋体" w:cs="宋体" w:hint="eastAsia"/>
          <w:sz w:val="24"/>
          <w:highlight w:val="white"/>
          <w:lang w:eastAsia="zh-CN"/>
        </w:rPr>
        <w:t>（八）基金财产投资的有关有价凭证等的保管</w:t>
      </w:r>
    </w:p>
    <w:p w:rsidR="00BC44E7" w14:paraId="6B5F009B" w14:textId="77777777">
      <w:pPr>
        <w:snapToGrid w:val="0"/>
        <w:ind w:firstLine="480"/>
        <w:rPr>
          <w:rFonts w:ascii="宋体" w:hAnsi="宋体" w:cs="宋体"/>
          <w:lang w:eastAsia="zh-CN"/>
        </w:rPr>
      </w:pPr>
      <w:r>
        <w:rPr>
          <w:rFonts w:ascii="宋体" w:hAnsi="宋体" w:cs="宋体" w:hint="eastAsia"/>
          <w:sz w:val="24"/>
          <w:highlight w:val="white"/>
          <w:lang w:eastAsia="zh-CN"/>
        </w:rPr>
        <w:t>基金财产投资的有关实物证券、银行存款开户证实书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BC44E7" w14:paraId="36A7314C" w14:textId="77777777">
      <w:pPr>
        <w:snapToGrid w:val="0"/>
        <w:ind w:firstLine="480"/>
        <w:rPr>
          <w:rFonts w:ascii="宋体" w:hAnsi="宋体" w:cs="宋体"/>
          <w:sz w:val="24"/>
          <w:lang w:eastAsia="zh-CN"/>
        </w:rPr>
      </w:pPr>
      <w:r>
        <w:rPr>
          <w:rFonts w:ascii="宋体" w:hAnsi="宋体" w:cs="宋体" w:hint="eastAsia"/>
          <w:sz w:val="24"/>
          <w:highlight w:val="white"/>
          <w:lang w:eastAsia="zh-CN"/>
        </w:rPr>
        <w:t>（九）与基金财产有关的重大合同的保管</w:t>
      </w:r>
    </w:p>
    <w:p w:rsidR="00BC44E7" w14:paraId="471AF52B" w14:textId="77777777">
      <w:pPr>
        <w:snapToGrid w:val="0"/>
        <w:ind w:firstLine="480"/>
        <w:rPr>
          <w:rFonts w:ascii="宋体" w:hAnsi="宋体" w:cs="宋体"/>
          <w:sz w:val="30"/>
          <w:szCs w:val="30"/>
          <w:lang w:eastAsia="zh-CN"/>
        </w:rPr>
      </w:pPr>
      <w:r>
        <w:rPr>
          <w:rFonts w:ascii="宋体" w:hAnsi="宋体" w:cs="宋体" w:hint="eastAsia"/>
          <w:sz w:val="24"/>
          <w:highlight w:val="white"/>
          <w:lang w:eastAsia="zh-CN"/>
        </w:rPr>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r>
        <w:rPr>
          <w:rFonts w:ascii="宋体" w:hAnsi="宋体" w:cs="宋体"/>
          <w:sz w:val="24"/>
          <w:highlight w:val="white"/>
          <w:lang w:eastAsia="zh-CN"/>
        </w:rPr>
        <w:t>。</w:t>
      </w:r>
    </w:p>
    <w:p w:rsidR="00BC44E7" w14:paraId="703C542D" w14:textId="77777777">
      <w:pPr>
        <w:rPr>
          <w:rFonts w:ascii="宋体" w:hAnsi="宋体" w:cs="宋体"/>
          <w:sz w:val="24"/>
          <w:lang w:eastAsia="zh-CN"/>
        </w:rPr>
      </w:pPr>
    </w:p>
    <w:p w:rsidR="00BC44E7" w14:paraId="55762F38" w14:textId="77777777">
      <w:pPr>
        <w:pStyle w:val="21"/>
        <w:jc w:val="center"/>
        <w:rPr>
          <w:rFonts w:ascii="宋体" w:eastAsia="宋体" w:hAnsi="宋体" w:cs="宋体"/>
          <w:sz w:val="30"/>
          <w:lang w:eastAsia="zh-CN"/>
        </w:rPr>
      </w:pPr>
      <w:bookmarkStart w:id="44" w:name="_Toc86223244"/>
      <w:bookmarkStart w:id="45" w:name="_Toc86204790"/>
      <w:bookmarkStart w:id="46" w:name="_Toc118212952"/>
      <w:bookmarkStart w:id="47" w:name="_Toc89163370"/>
      <w:bookmarkStart w:id="48" w:name="_Toc108512360"/>
      <w:bookmarkStart w:id="49" w:name="_Toc120435785"/>
      <w:bookmarkStart w:id="50" w:name="_Toc86225293"/>
      <w:bookmarkStart w:id="51" w:name="_Toc119402712"/>
      <w:bookmarkStart w:id="52" w:name="_Toc68875908"/>
      <w:bookmarkStart w:id="53" w:name="_Toc84133787"/>
      <w:bookmarkStart w:id="54" w:name="_Toc118774805"/>
      <w:bookmarkStart w:id="55" w:name="_Toc84234436"/>
      <w:bookmarkStart w:id="56" w:name="_Toc110765662"/>
      <w:bookmarkStart w:id="57" w:name="_Toc86727357"/>
      <w:bookmarkStart w:id="58" w:name="_Toc86649724"/>
      <w:bookmarkStart w:id="59" w:name="_Toc84234389"/>
      <w:bookmarkStart w:id="60" w:name="_Toc110761798"/>
      <w:bookmarkStart w:id="61" w:name="_Toc86737931"/>
      <w:bookmarkStart w:id="62" w:name="_Toc110830494"/>
      <w:bookmarkStart w:id="63" w:name="_Toc86726441"/>
      <w:bookmarkStart w:id="64" w:name="_Toc118972650"/>
      <w:r>
        <w:rPr>
          <w:rFonts w:ascii="宋体" w:eastAsia="宋体" w:hAnsi="宋体" w:cs="宋体" w:hint="eastAsia"/>
          <w:sz w:val="30"/>
          <w:highlight w:val="white"/>
          <w:lang w:eastAsia="zh-CN"/>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BC44E7" w14:paraId="31FE4E56" w14:textId="77777777">
      <w:pPr>
        <w:ind w:firstLine="480"/>
        <w:rPr>
          <w:lang w:eastAsia="zh-CN"/>
        </w:rPr>
      </w:pPr>
      <w:r>
        <w:rPr>
          <w:rFonts w:ascii="宋体" w:hAnsi="宋体" w:cs="宋体"/>
          <w:color w:val="000000"/>
          <w:sz w:val="24"/>
          <w:highlight w:val="white"/>
          <w:lang w:eastAsia="zh-CN"/>
        </w:rPr>
        <w:t>基金管理人在运用基金财产时向基金托管人发送资金划拨及其他款项付款指令，基金托管人执行基金管理人的指令、办理基金名下的资金往来等有关事项。</w:t>
      </w:r>
    </w:p>
    <w:p w:rsidR="00BC44E7" w14:paraId="04100EAA" w14:textId="77777777">
      <w:pPr>
        <w:ind w:firstLine="480"/>
        <w:rPr>
          <w:lang w:eastAsia="zh-CN"/>
        </w:rPr>
      </w:pPr>
      <w:r>
        <w:rPr>
          <w:rFonts w:ascii="宋体" w:hAnsi="宋体" w:cs="宋体"/>
          <w:color w:val="000000"/>
          <w:sz w:val="24"/>
          <w:highlight w:val="white"/>
          <w:lang w:eastAsia="zh-CN"/>
        </w:rPr>
        <w:t>（一）基金管理人对发送指令人员的书面授权</w:t>
      </w:r>
    </w:p>
    <w:p w:rsidR="00BC44E7" w14:paraId="770F45EE" w14:textId="77777777">
      <w:pPr>
        <w:ind w:firstLine="480"/>
        <w:rPr>
          <w:lang w:eastAsia="zh-CN"/>
        </w:rPr>
      </w:pPr>
      <w:r>
        <w:rPr>
          <w:rFonts w:ascii="宋体" w:hAnsi="宋体" w:cs="宋体"/>
          <w:color w:val="000000"/>
          <w:sz w:val="24"/>
          <w:highlight w:val="white"/>
          <w:lang w:eastAsia="zh-CN"/>
        </w:rPr>
        <w:t>1.基金管理人应指定专人向基金托管人发送指令。</w:t>
      </w:r>
    </w:p>
    <w:p w:rsidR="00BC44E7" w14:paraId="1FFAA1D1" w14:textId="77777777">
      <w:pPr>
        <w:ind w:firstLine="480"/>
        <w:rPr>
          <w:rFonts w:ascii="宋体" w:hAnsi="宋体" w:cs="宋体"/>
          <w:color w:val="000000"/>
          <w:sz w:val="24"/>
          <w:highlight w:val="white"/>
          <w:lang w:eastAsia="zh-CN"/>
        </w:rPr>
      </w:pPr>
      <w:r>
        <w:rPr>
          <w:rFonts w:ascii="宋体" w:hAnsi="宋体" w:cs="宋体" w:hint="eastAsia"/>
          <w:color w:val="000000"/>
          <w:sz w:val="24"/>
          <w:highlight w:val="white"/>
          <w:lang w:eastAsia="zh-CN"/>
        </w:rPr>
        <w:t>2.基金管理人应向基金托管人提供书面授权文件原件，内容包括被授权人名单、预留印鉴及被授权人签字样本，授权文件应注明被授权人相应的权限并加盖单位公章。</w:t>
      </w:r>
    </w:p>
    <w:p w:rsidR="00BC44E7" w14:paraId="6D1E8732" w14:textId="77777777">
      <w:pPr>
        <w:ind w:firstLine="480"/>
        <w:rPr>
          <w:lang w:eastAsia="zh-CN"/>
        </w:rPr>
      </w:pPr>
      <w:r>
        <w:rPr>
          <w:rFonts w:ascii="宋体" w:hAnsi="宋体" w:cs="宋体"/>
          <w:color w:val="000000"/>
          <w:sz w:val="24"/>
          <w:highlight w:val="white"/>
          <w:lang w:eastAsia="zh-CN"/>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BC44E7" w14:paraId="473572D0" w14:textId="77777777">
      <w:pPr>
        <w:ind w:firstLine="480"/>
        <w:rPr>
          <w:lang w:eastAsia="zh-CN"/>
        </w:rPr>
      </w:pPr>
      <w:r>
        <w:rPr>
          <w:rFonts w:ascii="宋体" w:hAnsi="宋体" w:cs="宋体"/>
          <w:color w:val="000000"/>
          <w:sz w:val="24"/>
          <w:highlight w:val="white"/>
          <w:lang w:eastAsia="zh-CN"/>
        </w:rPr>
        <w:t>4.基金管理人和基金托管人对授权文件负有保密义务，其内容不得向被授权人及相关操作人员以外的任何人泄露。但法律法规规定或有权机关要求的除外。</w:t>
      </w:r>
    </w:p>
    <w:p w:rsidR="00BC44E7" w14:paraId="688273E5" w14:textId="77777777">
      <w:pPr>
        <w:ind w:firstLine="480"/>
        <w:rPr>
          <w:lang w:eastAsia="zh-CN"/>
        </w:rPr>
      </w:pPr>
      <w:r>
        <w:rPr>
          <w:rFonts w:ascii="宋体" w:hAnsi="宋体" w:cs="宋体"/>
          <w:color w:val="000000"/>
          <w:sz w:val="24"/>
          <w:highlight w:val="white"/>
          <w:lang w:eastAsia="zh-CN"/>
        </w:rPr>
        <w:t>（二）指令的内容</w:t>
      </w:r>
    </w:p>
    <w:p w:rsidR="00BC44E7" w14:paraId="6FA50C54" w14:textId="77777777">
      <w:pPr>
        <w:ind w:firstLine="480"/>
        <w:rPr>
          <w:lang w:eastAsia="zh-CN"/>
        </w:rPr>
      </w:pPr>
      <w:r>
        <w:rPr>
          <w:rFonts w:ascii="宋体" w:hAnsi="宋体" w:cs="宋体"/>
          <w:color w:val="000000"/>
          <w:sz w:val="24"/>
          <w:highlight w:val="white"/>
          <w:lang w:eastAsia="zh-CN"/>
        </w:rPr>
        <w:t>1.指令包括付款指令以及其他资金划拨指令等。</w:t>
      </w:r>
    </w:p>
    <w:p w:rsidR="00BC44E7" w14:paraId="29D6E130" w14:textId="77777777">
      <w:pPr>
        <w:ind w:firstLine="480"/>
        <w:rPr>
          <w:lang w:eastAsia="zh-CN"/>
        </w:rPr>
      </w:pPr>
      <w:r>
        <w:rPr>
          <w:rFonts w:ascii="宋体" w:hAnsi="宋体" w:cs="宋体" w:hint="eastAsia"/>
          <w:color w:val="000000"/>
          <w:sz w:val="24"/>
          <w:highlight w:val="white"/>
          <w:lang w:eastAsia="zh-CN"/>
        </w:rPr>
        <w:t>2.基金管理人发给基金托管人的指令应写明款项事由、支付时间、到账时间、金额、收付款账户等，加盖预留印鉴并由被授权人签字。</w:t>
      </w:r>
    </w:p>
    <w:p w:rsidR="00BC44E7" w14:paraId="3389ACDB" w14:textId="77777777">
      <w:pPr>
        <w:ind w:firstLine="480"/>
        <w:rPr>
          <w:lang w:eastAsia="zh-CN"/>
        </w:rPr>
      </w:pPr>
      <w:r>
        <w:rPr>
          <w:rFonts w:ascii="宋体" w:hAnsi="宋体" w:cs="宋体"/>
          <w:color w:val="000000"/>
          <w:sz w:val="24"/>
          <w:highlight w:val="white"/>
          <w:lang w:eastAsia="zh-CN"/>
        </w:rPr>
        <w:t>（三）指令的发送、确认及执行的时间和程序</w:t>
      </w:r>
    </w:p>
    <w:p w:rsidR="00BC44E7" w14:paraId="43B90CCC" w14:textId="77777777">
      <w:pPr>
        <w:ind w:firstLine="480"/>
        <w:rPr>
          <w:lang w:eastAsia="zh-CN"/>
        </w:rPr>
      </w:pPr>
      <w:r>
        <w:rPr>
          <w:rFonts w:ascii="宋体" w:hAnsi="宋体" w:cs="宋体"/>
          <w:color w:val="000000"/>
          <w:sz w:val="24"/>
          <w:highlight w:val="white"/>
          <w:lang w:eastAsia="zh-CN"/>
        </w:rPr>
        <w:t>1.指令的发送</w:t>
      </w:r>
    </w:p>
    <w:p w:rsidR="00BC44E7" w14:paraId="2D2CD3A4" w14:textId="77777777">
      <w:pPr>
        <w:ind w:firstLine="480"/>
        <w:rPr>
          <w:lang w:eastAsia="zh-CN"/>
        </w:rPr>
      </w:pPr>
      <w:r>
        <w:rPr>
          <w:rFonts w:ascii="宋体" w:hAnsi="宋体" w:cs="宋体" w:hint="eastAsia"/>
          <w:color w:val="000000"/>
          <w:sz w:val="24"/>
          <w:highlight w:val="white"/>
          <w:lang w:eastAsia="zh-CN"/>
        </w:rPr>
        <w:t>基金管理人发送指令应采用电子直连方式、传真方式或双方协商一致的其他方式。</w:t>
      </w:r>
    </w:p>
    <w:p w:rsidR="00BC44E7" w14:paraId="2BBFF2C7" w14:textId="77777777">
      <w:pPr>
        <w:ind w:firstLine="480"/>
        <w:rPr>
          <w:rFonts w:ascii="宋体" w:hAnsi="宋体" w:cs="宋体"/>
          <w:color w:val="000000"/>
          <w:sz w:val="24"/>
          <w:highlight w:val="white"/>
          <w:lang w:eastAsia="zh-CN"/>
        </w:rPr>
      </w:pPr>
      <w:r>
        <w:rPr>
          <w:rFonts w:ascii="宋体" w:hAnsi="宋体" w:cs="宋体"/>
          <w:color w:val="000000"/>
          <w:sz w:val="24"/>
          <w:highlight w:val="white"/>
          <w:lang w:eastAsia="zh-CN"/>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BC44E7" w14:paraId="7DD1789B" w14:textId="0C046701">
      <w:pPr>
        <w:ind w:firstLine="480"/>
        <w:rPr>
          <w:rFonts w:ascii="宋体" w:hAnsi="宋体" w:cs="宋体"/>
          <w:color w:val="000000"/>
          <w:sz w:val="24"/>
          <w:highlight w:val="white"/>
          <w:lang w:eastAsia="zh-CN"/>
        </w:rPr>
      </w:pPr>
      <w:r>
        <w:rPr>
          <w:rFonts w:ascii="宋体" w:hAnsi="宋体" w:cs="宋体" w:hint="eastAsia"/>
          <w:color w:val="000000"/>
          <w:sz w:val="24"/>
          <w:highlight w:val="white"/>
          <w:lang w:eastAsia="zh-CN"/>
        </w:rPr>
        <w:t>指令发出后，基金管理人应及时以</w:t>
      </w:r>
      <w:r w:rsidR="002C7403">
        <w:rPr>
          <w:rFonts w:ascii="宋体" w:hAnsi="宋体" w:cs="宋体" w:hint="eastAsia"/>
          <w:color w:val="000000"/>
          <w:sz w:val="24"/>
          <w:highlight w:val="white"/>
          <w:lang w:eastAsia="zh-CN"/>
        </w:rPr>
        <w:t>电话</w:t>
      </w:r>
      <w:r>
        <w:rPr>
          <w:rFonts w:ascii="宋体" w:hAnsi="宋体" w:cs="宋体" w:hint="eastAsia"/>
          <w:color w:val="000000"/>
          <w:sz w:val="24"/>
          <w:highlight w:val="white"/>
          <w:lang w:eastAsia="zh-CN"/>
        </w:rPr>
        <w:t>方式或者双方认可的其他方式向基金托管人确认。基金托管人不承担由于基</w:t>
      </w:r>
      <w:r>
        <w:rPr>
          <w:rFonts w:ascii="宋体" w:hAnsi="宋体" w:cs="宋体" w:hint="eastAsia"/>
          <w:color w:val="000000"/>
          <w:sz w:val="24"/>
          <w:highlight w:val="white"/>
          <w:lang w:eastAsia="zh-CN"/>
        </w:rPr>
        <w:t>金管理人未及时进行指令确认而造成指令划付延误或失败的责任。</w:t>
      </w:r>
    </w:p>
    <w:p w:rsidR="00BC44E7" w14:paraId="50398EA6" w14:textId="02E8CE7E">
      <w:pPr>
        <w:ind w:firstLine="480"/>
        <w:rPr>
          <w:lang w:eastAsia="zh-CN"/>
        </w:rPr>
      </w:pPr>
      <w:r>
        <w:rPr>
          <w:rFonts w:ascii="宋体" w:hAnsi="宋体" w:cs="宋体"/>
          <w:color w:val="000000"/>
          <w:sz w:val="24"/>
          <w:highlight w:val="white"/>
          <w:lang w:eastAsia="zh-CN"/>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BC44E7" w14:paraId="4B224A60" w14:textId="77777777">
      <w:pPr>
        <w:ind w:firstLine="480"/>
        <w:rPr>
          <w:lang w:eastAsia="zh-CN"/>
        </w:rPr>
      </w:pPr>
      <w:r>
        <w:rPr>
          <w:rFonts w:ascii="宋体" w:hAnsi="宋体" w:cs="宋体"/>
          <w:color w:val="000000"/>
          <w:sz w:val="24"/>
          <w:highlight w:val="white"/>
          <w:lang w:eastAsia="zh-CN"/>
        </w:rPr>
        <w:t>2.指令的确认</w:t>
      </w:r>
    </w:p>
    <w:p w:rsidR="00BC44E7" w14:paraId="7D8C1711" w14:textId="77777777">
      <w:pPr>
        <w:ind w:firstLine="480"/>
        <w:rPr>
          <w:lang w:eastAsia="zh-CN"/>
        </w:rPr>
      </w:pPr>
      <w:r>
        <w:rPr>
          <w:rFonts w:ascii="宋体" w:hAnsi="宋体" w:cs="宋体"/>
          <w:color w:val="000000"/>
          <w:sz w:val="24"/>
          <w:highlight w:val="white"/>
          <w:lang w:eastAsia="zh-CN"/>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BC44E7" w14:paraId="025DF159" w14:textId="77777777">
      <w:pPr>
        <w:ind w:firstLine="480"/>
        <w:rPr>
          <w:lang w:eastAsia="zh-CN"/>
        </w:rPr>
      </w:pPr>
      <w:r>
        <w:rPr>
          <w:rFonts w:ascii="宋体" w:hAnsi="宋体" w:cs="宋体"/>
          <w:color w:val="000000"/>
          <w:sz w:val="24"/>
          <w:highlight w:val="white"/>
          <w:lang w:eastAsia="zh-CN"/>
        </w:rPr>
        <w:t>3.指令的时间和执行</w:t>
      </w:r>
    </w:p>
    <w:p w:rsidR="00BC44E7" w14:paraId="690094B5" w14:textId="77777777">
      <w:pPr>
        <w:ind w:firstLine="480"/>
        <w:rPr>
          <w:lang w:eastAsia="zh-CN"/>
        </w:rPr>
      </w:pPr>
      <w:r>
        <w:rPr>
          <w:rFonts w:ascii="宋体" w:hAnsi="宋体" w:cs="宋体" w:hint="eastAsia"/>
          <w:color w:val="000000"/>
          <w:sz w:val="24"/>
          <w:highlight w:val="white"/>
          <w:lang w:eastAsia="zh-CN"/>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基金管理人应确保基金托管人在执行指令时，基金托管资金账户有足够的资金余额，在基金资金头寸充足的情况下，基金托管人对基金管理人符合法律法规、《基金合同》、本协议的指令不得拖延或拒绝执行。</w:t>
      </w:r>
    </w:p>
    <w:p w:rsidR="00BC44E7" w14:paraId="5655D87E" w14:textId="77777777">
      <w:pPr>
        <w:ind w:firstLine="480"/>
        <w:rPr>
          <w:rFonts w:ascii="宋体" w:hAnsi="宋体" w:cs="宋体"/>
          <w:color w:val="000000"/>
          <w:sz w:val="24"/>
          <w:lang w:eastAsia="zh-CN"/>
        </w:rPr>
      </w:pPr>
      <w:r>
        <w:rPr>
          <w:rFonts w:ascii="宋体" w:hAnsi="宋体" w:cs="宋体" w:hint="eastAsia"/>
          <w:color w:val="000000"/>
          <w:sz w:val="24"/>
          <w:highlight w:val="white"/>
          <w:lang w:eastAsia="zh-CN"/>
        </w:rPr>
        <w:t>（四）基金管理人发送错误指令的情形和处理程序</w:t>
      </w:r>
    </w:p>
    <w:p w:rsidR="00BC44E7" w14:paraId="365F4A77" w14:textId="77777777">
      <w:pPr>
        <w:ind w:firstLine="480"/>
        <w:rPr>
          <w:rFonts w:ascii="宋体" w:hAnsi="宋体" w:cs="宋体"/>
          <w:color w:val="000000"/>
          <w:sz w:val="24"/>
          <w:lang w:eastAsia="zh-CN"/>
        </w:rPr>
      </w:pPr>
      <w:r>
        <w:rPr>
          <w:rFonts w:ascii="宋体" w:hAnsi="宋体" w:cs="宋体" w:hint="eastAsia"/>
          <w:color w:val="000000"/>
          <w:sz w:val="24"/>
          <w:highlight w:val="white"/>
          <w:lang w:eastAsia="zh-CN"/>
        </w:rPr>
        <w:t>基金管理人发送错误指令的情形包括指令违反法律法规、监管规定、《基金合同》或本协议的约定，或指令发送人员无权或超越权限发送指令。</w:t>
      </w:r>
    </w:p>
    <w:p w:rsidR="00BC44E7" w14:paraId="00B89844" w14:textId="77777777">
      <w:pPr>
        <w:ind w:firstLine="480"/>
        <w:rPr>
          <w:rFonts w:ascii="宋体" w:hAnsi="宋体" w:cs="宋体"/>
          <w:color w:val="000000"/>
          <w:sz w:val="24"/>
          <w:lang w:eastAsia="zh-CN"/>
        </w:rPr>
      </w:pPr>
      <w:r>
        <w:rPr>
          <w:rFonts w:ascii="宋体" w:hAnsi="宋体" w:cs="宋体" w:hint="eastAsia"/>
          <w:color w:val="000000"/>
          <w:sz w:val="24"/>
          <w:highlight w:val="white"/>
          <w:lang w:eastAsia="zh-CN"/>
        </w:rPr>
        <w:t>基金托管人发现基金管理人的指令错误时，有权拒绝执行，并及时通知基金管理人改正。如需托管人撤销尚未执行的指令，基金管理人应出具作废指令或作废说明，并电话通知托管人。</w:t>
      </w:r>
    </w:p>
    <w:p w:rsidR="00BC44E7" w14:paraId="44B624CC" w14:textId="77777777">
      <w:pPr>
        <w:ind w:firstLine="480"/>
        <w:rPr>
          <w:rFonts w:ascii="宋体" w:hAnsi="宋体" w:cs="宋体"/>
          <w:color w:val="000000"/>
          <w:sz w:val="24"/>
          <w:lang w:eastAsia="zh-CN"/>
        </w:rPr>
      </w:pPr>
      <w:r>
        <w:rPr>
          <w:rFonts w:ascii="宋体" w:hAnsi="宋体" w:cs="宋体" w:hint="eastAsia"/>
          <w:color w:val="000000"/>
          <w:sz w:val="24"/>
          <w:highlight w:val="white"/>
          <w:lang w:eastAsia="zh-CN"/>
        </w:rPr>
        <w:t>（五）基金托管人未按照基金管理人指令执行的处理方法</w:t>
      </w:r>
    </w:p>
    <w:p w:rsidR="00BC44E7" w14:paraId="1AAE7384" w14:textId="77777777">
      <w:pPr>
        <w:ind w:firstLine="480"/>
        <w:rPr>
          <w:rFonts w:ascii="宋体" w:hAnsi="宋体" w:cs="宋体"/>
          <w:color w:val="000000"/>
          <w:sz w:val="24"/>
          <w:lang w:eastAsia="zh-CN"/>
        </w:rPr>
      </w:pPr>
      <w:r>
        <w:rPr>
          <w:rFonts w:ascii="宋体" w:hAnsi="宋体" w:cs="宋体" w:hint="eastAsia"/>
          <w:color w:val="000000"/>
          <w:sz w:val="24"/>
          <w:highlight w:val="white"/>
          <w:lang w:eastAsia="zh-CN"/>
        </w:rPr>
        <w:t>基金托管人由于自身过错，未按照基金管理人发送的符合法律法规、监管规定、《基金合同》和本协议约定的指令执行并对基金财产或投资人造成的直接损失，由基金托管人赔偿由此造成的直接损失。</w:t>
      </w:r>
    </w:p>
    <w:p w:rsidR="00BC44E7" w14:paraId="31923FE2" w14:textId="77777777">
      <w:pPr>
        <w:ind w:firstLine="480"/>
        <w:rPr>
          <w:rFonts w:ascii="宋体" w:hAnsi="宋体" w:cs="宋体"/>
          <w:color w:val="000000"/>
          <w:sz w:val="24"/>
          <w:lang w:eastAsia="zh-CN"/>
        </w:rPr>
      </w:pPr>
      <w:r>
        <w:rPr>
          <w:rFonts w:ascii="宋体" w:hAnsi="宋体" w:cs="宋体" w:hint="eastAsia"/>
          <w:color w:val="000000"/>
          <w:sz w:val="24"/>
          <w:highlight w:val="white"/>
          <w:lang w:eastAsia="zh-CN"/>
        </w:rPr>
        <w:t>（六）更换被授权人员的程序</w:t>
      </w:r>
    </w:p>
    <w:p w:rsidR="00BC44E7" w14:paraId="52A98C07" w14:textId="77777777">
      <w:pPr>
        <w:ind w:firstLine="480"/>
        <w:rPr>
          <w:rFonts w:ascii="宋体" w:hAnsi="宋体" w:cs="宋体"/>
          <w:color w:val="000000"/>
          <w:sz w:val="24"/>
          <w:lang w:eastAsia="zh-CN"/>
        </w:rPr>
      </w:pPr>
      <w:r>
        <w:rPr>
          <w:rFonts w:ascii="宋体" w:hAnsi="宋体" w:cs="宋体" w:hint="eastAsia"/>
          <w:color w:val="000000"/>
          <w:sz w:val="24"/>
          <w:highlight w:val="white"/>
          <w:lang w:eastAsia="zh-CN"/>
        </w:rPr>
        <w:t>基金管理人更换被授权人、更改或终止对被授权人的授权，应立即将新的加盖公章的授权文件以邮件发送扫描件的方式通知基金托管人，并经电话确认后生效，原授权文件同时废止。新的授权文件应当在邮件发出后七个工作日内送达托管人文件正本。新的授权文件生效之后，正本送达之前，基金托管人按照新的授权文件扫描件内容执行有关业务，如果新的授权文件正本与扫描件内容不同，由此产生的责任由基金管理人承担。基金托管人更换接受基金管理人指令的传真号或邮箱地址，应提前通知基金管理人。</w:t>
      </w:r>
    </w:p>
    <w:p w:rsidR="00BC44E7" w14:paraId="4D6DDAF5" w14:textId="77777777">
      <w:pPr>
        <w:ind w:firstLine="480"/>
        <w:rPr>
          <w:rFonts w:ascii="宋体" w:hAnsi="宋体" w:cs="宋体"/>
          <w:color w:val="000000"/>
          <w:sz w:val="24"/>
          <w:lang w:eastAsia="zh-CN"/>
        </w:rPr>
      </w:pPr>
      <w:r>
        <w:rPr>
          <w:rFonts w:ascii="宋体" w:hAnsi="宋体" w:cs="宋体" w:hint="eastAsia"/>
          <w:color w:val="000000"/>
          <w:sz w:val="24"/>
          <w:highlight w:val="white"/>
          <w:lang w:eastAsia="zh-CN"/>
        </w:rPr>
        <w:t>（七）其他事项</w:t>
      </w:r>
    </w:p>
    <w:p w:rsidR="00BC44E7" w14:paraId="0A75D0DC" w14:textId="77777777">
      <w:pPr>
        <w:ind w:firstLine="480"/>
        <w:rPr>
          <w:rFonts w:ascii="宋体" w:hAnsi="宋体" w:cs="宋体"/>
          <w:color w:val="000000"/>
          <w:sz w:val="24"/>
          <w:lang w:eastAsia="zh-CN"/>
        </w:rPr>
      </w:pPr>
      <w:r>
        <w:rPr>
          <w:rFonts w:ascii="宋体" w:hAnsi="宋体" w:cs="宋体" w:hint="eastAsia"/>
          <w:color w:val="000000"/>
          <w:sz w:val="24"/>
          <w:highlight w:val="white"/>
          <w:lang w:eastAsia="zh-CN"/>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rsidR="00BC44E7" w14:paraId="64DA31F4" w14:textId="77777777">
      <w:pPr>
        <w:ind w:firstLine="480"/>
        <w:rPr>
          <w:lang w:eastAsia="zh-CN"/>
        </w:rPr>
      </w:pPr>
      <w:r>
        <w:rPr>
          <w:rFonts w:ascii="宋体" w:hAnsi="宋体" w:cs="宋体"/>
          <w:color w:val="000000"/>
          <w:sz w:val="24"/>
          <w:highlight w:val="white"/>
          <w:lang w:eastAsia="zh-CN"/>
        </w:rPr>
        <w:t>基金参与认购未上市债券时，基金管理人应代表本基金与对手方签署相关合同或协议，明确约定债券过户具体事宜。否则，基金管理人需对所认购债券的过户事宜承担相应责任。</w:t>
      </w:r>
    </w:p>
    <w:p w:rsidR="00BC44E7" w14:paraId="21BB5A06" w14:textId="77777777">
      <w:pPr>
        <w:snapToGrid w:val="0"/>
        <w:ind w:firstLine="480"/>
        <w:rPr>
          <w:rFonts w:ascii="宋体" w:hAnsi="宋体" w:cs="宋体"/>
          <w:sz w:val="24"/>
          <w:lang w:eastAsia="zh-CN"/>
        </w:rPr>
      </w:pPr>
    </w:p>
    <w:p w:rsidR="00BC44E7" w14:paraId="2B795FBD" w14:textId="77777777">
      <w:pPr>
        <w:snapToGrid w:val="0"/>
        <w:rPr>
          <w:rFonts w:ascii="宋体" w:hAnsi="宋体" w:cs="宋体"/>
          <w:sz w:val="24"/>
          <w:lang w:eastAsia="zh-CN"/>
        </w:rPr>
      </w:pPr>
    </w:p>
    <w:p w:rsidR="00BC44E7" w14:paraId="6A5A9B0B" w14:textId="77777777">
      <w:pPr>
        <w:pStyle w:val="21"/>
        <w:jc w:val="center"/>
        <w:rPr>
          <w:rFonts w:ascii="宋体" w:eastAsia="宋体" w:hAnsi="宋体" w:cs="宋体"/>
          <w:sz w:val="30"/>
          <w:lang w:eastAsia="zh-CN"/>
        </w:rPr>
      </w:pPr>
      <w:bookmarkStart w:id="65" w:name="_Toc89163371"/>
      <w:bookmarkStart w:id="66" w:name="_Toc118774806"/>
      <w:bookmarkStart w:id="67" w:name="_Toc118212953"/>
      <w:bookmarkStart w:id="68" w:name="_Toc118972651"/>
      <w:bookmarkStart w:id="69" w:name="_Toc86223245"/>
      <w:bookmarkStart w:id="70" w:name="_Toc108512361"/>
      <w:bookmarkStart w:id="71" w:name="_Toc86225294"/>
      <w:bookmarkStart w:id="72" w:name="_Toc86649725"/>
      <w:bookmarkStart w:id="73" w:name="_Toc110761799"/>
      <w:bookmarkStart w:id="74" w:name="_Toc110765663"/>
      <w:bookmarkStart w:id="75" w:name="_Toc84234390"/>
      <w:bookmarkStart w:id="76" w:name="_Toc84234437"/>
      <w:bookmarkStart w:id="77" w:name="_Toc119402713"/>
      <w:bookmarkStart w:id="78" w:name="_Toc120435786"/>
      <w:bookmarkStart w:id="79" w:name="_Toc110830495"/>
      <w:bookmarkStart w:id="80" w:name="_Toc84133788"/>
      <w:bookmarkStart w:id="81" w:name="_Toc86726442"/>
      <w:bookmarkStart w:id="82" w:name="_Toc86737932"/>
      <w:bookmarkStart w:id="83" w:name="_Toc68875909"/>
      <w:bookmarkStart w:id="84" w:name="_Toc86204791"/>
      <w:bookmarkStart w:id="85" w:name="_Toc86727358"/>
      <w:r>
        <w:rPr>
          <w:rFonts w:ascii="宋体" w:eastAsia="宋体" w:hAnsi="宋体" w:cs="宋体" w:hint="eastAsia"/>
          <w:sz w:val="30"/>
          <w:highlight w:val="white"/>
          <w:lang w:eastAsia="zh-CN"/>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BC44E7" w14:paraId="30FAD67B" w14:textId="77777777">
      <w:pPr>
        <w:ind w:firstLine="480"/>
        <w:rPr>
          <w:rFonts w:ascii="宋体" w:hAnsi="宋体" w:cs="宋体"/>
          <w:color w:val="000000"/>
          <w:sz w:val="24"/>
          <w:lang w:eastAsia="zh-CN"/>
        </w:rPr>
      </w:pPr>
    </w:p>
    <w:p w:rsidR="00BC44E7" w14:paraId="2202EC3A" w14:textId="77777777">
      <w:pPr>
        <w:ind w:firstLine="480"/>
        <w:rPr>
          <w:lang w:eastAsia="zh-CN"/>
        </w:rPr>
      </w:pPr>
      <w:r>
        <w:rPr>
          <w:rFonts w:ascii="宋体" w:hAnsi="宋体" w:cs="宋体"/>
          <w:color w:val="000000"/>
          <w:sz w:val="24"/>
          <w:highlight w:val="white"/>
          <w:lang w:eastAsia="zh-CN"/>
        </w:rPr>
        <w:t>本产品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rsidR="00BC44E7" w14:paraId="652D21BE" w14:textId="77777777">
      <w:pPr>
        <w:ind w:firstLine="480"/>
        <w:rPr>
          <w:rFonts w:ascii="宋体" w:hAnsi="宋体" w:cs="宋体"/>
          <w:color w:val="000000"/>
          <w:sz w:val="24"/>
          <w:lang w:eastAsia="zh-CN"/>
        </w:rPr>
      </w:pPr>
      <w:r>
        <w:rPr>
          <w:rFonts w:ascii="宋体" w:hAnsi="宋体" w:cs="宋体"/>
          <w:color w:val="000000"/>
          <w:sz w:val="24"/>
          <w:highlight w:val="white"/>
          <w:lang w:eastAsia="zh-CN"/>
        </w:rPr>
        <w:t>基金管理人、基金托管人应遵守本合同下述（一）和（二）之约定。</w:t>
      </w:r>
    </w:p>
    <w:p w:rsidR="00BC44E7" w14:paraId="0F746A77" w14:textId="77777777">
      <w:pPr>
        <w:ind w:firstLine="480"/>
        <w:rPr>
          <w:lang w:eastAsia="zh-CN"/>
        </w:rPr>
      </w:pPr>
      <w:r>
        <w:rPr>
          <w:rFonts w:ascii="宋体" w:hAnsi="宋体" w:cs="宋体"/>
          <w:color w:val="000000"/>
          <w:sz w:val="24"/>
          <w:highlight w:val="white"/>
          <w:lang w:eastAsia="zh-CN"/>
        </w:rPr>
        <w:t>（一）选择证券买卖的证券经营机构</w:t>
      </w:r>
    </w:p>
    <w:p w:rsidR="00BC44E7" w14:paraId="0025150D" w14:textId="77777777">
      <w:pPr>
        <w:ind w:firstLine="480"/>
        <w:rPr>
          <w:rFonts w:ascii="宋体" w:hAnsi="宋体" w:cs="宋体"/>
          <w:color w:val="000000"/>
          <w:sz w:val="24"/>
          <w:lang w:eastAsia="zh-CN"/>
        </w:rPr>
      </w:pPr>
      <w:r>
        <w:rPr>
          <w:rFonts w:ascii="宋体" w:hAnsi="宋体" w:cs="宋体"/>
          <w:color w:val="000000"/>
          <w:sz w:val="24"/>
          <w:highlight w:val="white"/>
          <w:lang w:eastAsia="zh-CN"/>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rsidR="00BC44E7" w14:paraId="29A54195" w14:textId="77777777">
      <w:pPr>
        <w:ind w:firstLine="480"/>
        <w:rPr>
          <w:lang w:eastAsia="zh-CN"/>
        </w:rPr>
      </w:pPr>
      <w:r>
        <w:rPr>
          <w:rFonts w:ascii="宋体" w:hAnsi="宋体" w:cs="宋体"/>
          <w:color w:val="000000"/>
          <w:sz w:val="24"/>
          <w:highlight w:val="white"/>
          <w:lang w:eastAsia="zh-CN"/>
        </w:rPr>
        <w:t>（二）基金投资证券后的清算交收安排</w:t>
      </w:r>
    </w:p>
    <w:p w:rsidR="00BC44E7" w14:paraId="43D1AAE6" w14:textId="77777777">
      <w:pPr>
        <w:ind w:firstLine="480"/>
        <w:rPr>
          <w:lang w:eastAsia="zh-CN"/>
        </w:rPr>
      </w:pPr>
      <w:r>
        <w:rPr>
          <w:rFonts w:ascii="宋体" w:hAnsi="宋体" w:cs="宋体"/>
          <w:color w:val="000000"/>
          <w:sz w:val="24"/>
          <w:highlight w:val="white"/>
          <w:lang w:eastAsia="zh-CN"/>
        </w:rPr>
        <w:t>1.结算备付金与保证金</w:t>
      </w:r>
    </w:p>
    <w:p w:rsidR="00BC44E7" w14:paraId="5D962380" w14:textId="77777777">
      <w:pPr>
        <w:ind w:firstLine="480"/>
        <w:rPr>
          <w:lang w:eastAsia="zh-CN"/>
        </w:rPr>
      </w:pPr>
      <w:r>
        <w:rPr>
          <w:rFonts w:ascii="宋体" w:hAnsi="宋体" w:cs="宋体"/>
          <w:color w:val="000000"/>
          <w:sz w:val="24"/>
          <w:highlight w:val="white"/>
          <w:lang w:eastAsia="zh-CN"/>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w:t>
      </w:r>
    </w:p>
    <w:p w:rsidR="00BC44E7" w14:paraId="63DCDF8E" w14:textId="77777777">
      <w:pPr>
        <w:ind w:firstLine="480"/>
        <w:rPr>
          <w:lang w:eastAsia="zh-CN"/>
        </w:rPr>
      </w:pPr>
      <w:r>
        <w:rPr>
          <w:rFonts w:ascii="宋体" w:hAnsi="宋体" w:cs="宋体"/>
          <w:color w:val="000000"/>
          <w:sz w:val="24"/>
          <w:highlight w:val="white"/>
          <w:lang w:eastAsia="zh-CN"/>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rsidR="00BC44E7" w14:paraId="2B7946AB" w14:textId="77777777">
      <w:pPr>
        <w:ind w:firstLine="480"/>
        <w:rPr>
          <w:lang w:eastAsia="zh-CN"/>
        </w:rPr>
      </w:pPr>
      <w:r>
        <w:rPr>
          <w:rFonts w:ascii="宋体" w:hAnsi="宋体" w:cs="宋体"/>
          <w:color w:val="000000"/>
          <w:sz w:val="24"/>
          <w:highlight w:val="white"/>
          <w:lang w:eastAsia="zh-CN"/>
        </w:rPr>
        <w:t>（1）固定备付金比例计收方式下，基金管理人应在调整最低备付金、结算保证金当日上午11：00之前补足金额。</w:t>
      </w:r>
    </w:p>
    <w:p w:rsidR="00BC44E7" w14:paraId="6698E02A" w14:textId="77777777">
      <w:pPr>
        <w:ind w:firstLine="480"/>
        <w:rPr>
          <w:lang w:eastAsia="zh-CN"/>
        </w:rPr>
      </w:pPr>
      <w:r>
        <w:rPr>
          <w:rFonts w:ascii="宋体" w:hAnsi="宋体" w:cs="宋体"/>
          <w:color w:val="000000"/>
          <w:sz w:val="24"/>
          <w:highlight w:val="white"/>
          <w:lang w:eastAsia="zh-CN"/>
        </w:rPr>
        <w:t>（2）差异化备付金比例计收方式下，基金管理人应最晚于资金交收日上午8：30前补足金额。如果资金交收日上午8：30之前未到账，结算参与人有权按照中国证券登记结算有限责任公司的规则上调该产品的备付金比例。</w:t>
      </w:r>
    </w:p>
    <w:p w:rsidR="00BC44E7" w14:paraId="11DCA77E" w14:textId="77777777">
      <w:pPr>
        <w:ind w:firstLine="480"/>
        <w:rPr>
          <w:lang w:eastAsia="zh-CN"/>
        </w:rPr>
      </w:pPr>
      <w:r>
        <w:rPr>
          <w:rFonts w:ascii="宋体" w:hAnsi="宋体" w:cs="宋体"/>
          <w:color w:val="000000"/>
          <w:sz w:val="24"/>
          <w:highlight w:val="white"/>
          <w:lang w:eastAsia="zh-CN"/>
        </w:rPr>
        <w:t>2.清算交收</w:t>
      </w:r>
    </w:p>
    <w:p w:rsidR="00BC44E7" w14:paraId="59124664" w14:textId="77777777">
      <w:pPr>
        <w:ind w:firstLine="480"/>
        <w:rPr>
          <w:lang w:eastAsia="zh-CN"/>
        </w:rPr>
      </w:pPr>
      <w:r>
        <w:rPr>
          <w:rFonts w:ascii="宋体" w:hAnsi="宋体" w:cs="宋体"/>
          <w:color w:val="000000"/>
          <w:sz w:val="24"/>
          <w:highlight w:val="white"/>
          <w:lang w:eastAsia="zh-CN"/>
        </w:rPr>
        <w:t>基金托管人负责基金买卖证券的清算交收。场内资金结算由基金托管人根据中国证券登记结算有限责任公司结算数据办理；场外资金汇划由基金托管人根据基金管理人的交易划款指令具体办理。</w:t>
      </w:r>
    </w:p>
    <w:p w:rsidR="00BC44E7" w14:paraId="2D235E52" w14:textId="77777777">
      <w:pPr>
        <w:ind w:firstLine="480"/>
        <w:rPr>
          <w:lang w:eastAsia="zh-CN"/>
        </w:rPr>
      </w:pPr>
      <w:r>
        <w:rPr>
          <w:rFonts w:ascii="宋体" w:hAnsi="宋体" w:cs="宋体" w:hint="eastAsia"/>
          <w:color w:val="000000"/>
          <w:sz w:val="24"/>
          <w:highlight w:val="white"/>
          <w:lang w:eastAsia="zh-CN"/>
        </w:rPr>
        <w:t>如果因为基金托管人自身过错在清算上造成基金财产的直接损失，应由基金托管人负责赔偿，但因中国人民银行、中国结算和银行间市场登记结算机构资金结算系统以及其他机构的结算系统发生故障等非基金托管人可以控制的因素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基金管理人按照其与基金托管人签署的《托管银行证券资金结算协议》的约定承担相关责任。</w:t>
      </w:r>
    </w:p>
    <w:p w:rsidR="00BC44E7" w14:paraId="40E62A29" w14:textId="77777777">
      <w:pPr>
        <w:ind w:firstLine="480"/>
        <w:rPr>
          <w:lang w:eastAsia="zh-CN"/>
        </w:rPr>
      </w:pPr>
      <w:r>
        <w:rPr>
          <w:rFonts w:ascii="宋体" w:hAnsi="宋体" w:cs="宋体"/>
          <w:color w:val="000000"/>
          <w:sz w:val="24"/>
          <w:highlight w:val="white"/>
          <w:lang w:eastAsia="zh-CN"/>
        </w:rPr>
        <w:t>基金管理人应采取合理、必要措施，确保T日日终有足够的资金头寸完成 T+1日中国证券登记结算有限责任公司的资金交收；如因基金管理人原因导致资金头寸不足，基金管理人应视基金托管人最低结算备付金比例计收方式分别于下列时点补足透支金额：</w:t>
      </w:r>
    </w:p>
    <w:p w:rsidR="00BC44E7" w14:paraId="58EC2D7A" w14:textId="77777777">
      <w:pPr>
        <w:ind w:firstLine="480"/>
        <w:rPr>
          <w:lang w:eastAsia="zh-CN"/>
        </w:rPr>
      </w:pPr>
      <w:r>
        <w:rPr>
          <w:rFonts w:ascii="宋体" w:hAnsi="宋体" w:cs="宋体"/>
          <w:color w:val="000000"/>
          <w:sz w:val="24"/>
          <w:highlight w:val="white"/>
          <w:lang w:eastAsia="zh-CN"/>
        </w:rPr>
        <w:t>（1）固定备付金比例计收方式下，基金管理人应最晚于资金交收日上午11：00前补足金额。</w:t>
      </w:r>
    </w:p>
    <w:p w:rsidR="00BC44E7" w14:paraId="77997F34" w14:textId="77777777">
      <w:pPr>
        <w:ind w:firstLine="480"/>
        <w:rPr>
          <w:lang w:eastAsia="zh-CN"/>
        </w:rPr>
      </w:pPr>
      <w:r>
        <w:rPr>
          <w:rFonts w:ascii="宋体" w:hAnsi="宋体" w:cs="宋体"/>
          <w:color w:val="000000"/>
          <w:sz w:val="24"/>
          <w:highlight w:val="white"/>
          <w:lang w:eastAsia="zh-CN"/>
        </w:rPr>
        <w:t>（2）差异化备付金比例计收方式下，基金管理人应最晚于资金交收日上午8：30前补足金额。如果资金交收日上午8：30之前未到账，结算参与人有权按照中国证券登记结算有限责任公司的规则上调该产品的备付金比例。</w:t>
      </w:r>
    </w:p>
    <w:p w:rsidR="00BC44E7" w14:paraId="56B1DE95" w14:textId="77777777">
      <w:pPr>
        <w:ind w:firstLine="480"/>
        <w:rPr>
          <w:lang w:eastAsia="zh-CN"/>
        </w:rPr>
      </w:pPr>
      <w:r>
        <w:rPr>
          <w:rFonts w:ascii="宋体" w:hAnsi="宋体" w:cs="宋体"/>
          <w:color w:val="000000"/>
          <w:sz w:val="24"/>
          <w:highlight w:val="white"/>
          <w:lang w:eastAsia="zh-CN"/>
        </w:rPr>
        <w:t>如果基金管理人未遵循上述规定备足资金头寸，影响基金资产的清算交收及基金托管人与中国证券登记结算有限责任公司之间的一级清算，由基金管理人按照其与基金托管人签署的《托管银行证券资金结算协议》的约定承担相关责任。</w:t>
      </w:r>
    </w:p>
    <w:p w:rsidR="00BC44E7" w14:paraId="00B4DB2A" w14:textId="77777777">
      <w:pPr>
        <w:ind w:firstLine="480"/>
        <w:rPr>
          <w:lang w:eastAsia="zh-CN"/>
        </w:rPr>
      </w:pPr>
      <w:r>
        <w:rPr>
          <w:rFonts w:ascii="宋体" w:hAnsi="宋体" w:cs="宋体"/>
          <w:color w:val="000000"/>
          <w:sz w:val="24"/>
          <w:highlight w:val="white"/>
          <w:lang w:eastAsia="zh-CN"/>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BC44E7" w14:paraId="3548965A" w14:textId="77777777">
      <w:pPr>
        <w:ind w:firstLine="480"/>
        <w:rPr>
          <w:lang w:eastAsia="zh-CN"/>
        </w:rPr>
      </w:pPr>
      <w:r>
        <w:rPr>
          <w:rFonts w:ascii="宋体" w:hAnsi="宋体" w:cs="宋体" w:hint="eastAsia"/>
          <w:color w:val="000000"/>
          <w:sz w:val="24"/>
          <w:highlight w:val="white"/>
          <w:lang w:eastAsia="zh-CN"/>
        </w:rPr>
        <w:t>对于中国证券登记结算有限责任公司实行T+0非担保交收的业务，基金管理人应在交易日14:00前将划款指令发送至基金托管人。因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rsidR="00BC44E7" w14:paraId="3CBCC819" w14:textId="02143657">
      <w:pPr>
        <w:ind w:firstLine="480"/>
        <w:rPr>
          <w:lang w:eastAsia="zh-CN"/>
        </w:rPr>
      </w:pPr>
      <w:r>
        <w:rPr>
          <w:rFonts w:ascii="宋体" w:hAnsi="宋体" w:cs="宋体"/>
          <w:color w:val="000000"/>
          <w:sz w:val="24"/>
          <w:highlight w:val="white"/>
          <w:lang w:eastAsia="zh-CN"/>
        </w:rPr>
        <w:t>3.交易记录、资金和证券账目核对的时间和方式</w:t>
      </w:r>
    </w:p>
    <w:p w:rsidR="00BC44E7" w14:paraId="31553E6A" w14:textId="77777777">
      <w:pPr>
        <w:ind w:firstLine="480"/>
        <w:rPr>
          <w:lang w:eastAsia="zh-CN"/>
        </w:rPr>
      </w:pPr>
      <w:r>
        <w:rPr>
          <w:rFonts w:ascii="宋体" w:hAnsi="宋体" w:cs="宋体"/>
          <w:color w:val="000000"/>
          <w:sz w:val="24"/>
          <w:highlight w:val="white"/>
          <w:lang w:eastAsia="zh-CN"/>
        </w:rPr>
        <w:t>（1）交易记录的核对</w:t>
      </w:r>
    </w:p>
    <w:p w:rsidR="00BC44E7" w14:paraId="2E4823B4" w14:textId="5C755A41">
      <w:pPr>
        <w:ind w:firstLine="480"/>
        <w:rPr>
          <w:lang w:eastAsia="zh-CN"/>
        </w:rPr>
      </w:pPr>
      <w:r>
        <w:rPr>
          <w:rFonts w:ascii="宋体" w:hAnsi="宋体" w:cs="宋体"/>
          <w:color w:val="000000"/>
          <w:sz w:val="24"/>
          <w:highlight w:val="white"/>
          <w:lang w:eastAsia="zh-CN"/>
        </w:rPr>
        <w:t>基金管理人按日进行交易记录的核对。每日对外披露净值之前，必须保证当天所有实际交易记录与基金会计账簿上的交易记录完全一致。如果因基金管理人原因导致实际交易记录与会计账簿记录不一致，造成基金会计核算不完整或不真实，由此导致的损失由基金管理人承担。</w:t>
      </w:r>
    </w:p>
    <w:p w:rsidR="00BC44E7" w14:paraId="208E76E7" w14:textId="77777777">
      <w:pPr>
        <w:ind w:firstLine="480"/>
        <w:rPr>
          <w:lang w:eastAsia="zh-CN"/>
        </w:rPr>
      </w:pPr>
      <w:r>
        <w:rPr>
          <w:rFonts w:ascii="宋体" w:hAnsi="宋体" w:cs="宋体"/>
          <w:color w:val="000000"/>
          <w:sz w:val="24"/>
          <w:highlight w:val="white"/>
          <w:lang w:eastAsia="zh-CN"/>
        </w:rPr>
        <w:t>（2）资金账目的核对</w:t>
      </w:r>
    </w:p>
    <w:p w:rsidR="00BC44E7" w14:paraId="14742C79" w14:textId="77777777">
      <w:pPr>
        <w:ind w:firstLine="480"/>
        <w:rPr>
          <w:lang w:eastAsia="zh-CN"/>
        </w:rPr>
      </w:pPr>
      <w:r>
        <w:rPr>
          <w:rFonts w:ascii="宋体" w:hAnsi="宋体" w:cs="宋体"/>
          <w:color w:val="000000"/>
          <w:sz w:val="24"/>
          <w:highlight w:val="white"/>
          <w:lang w:eastAsia="zh-CN"/>
        </w:rPr>
        <w:t>资金账目按日核实。</w:t>
      </w:r>
    </w:p>
    <w:p w:rsidR="00BC44E7" w14:paraId="47DAEC68" w14:textId="32DC1B92">
      <w:pPr>
        <w:ind w:firstLine="480"/>
        <w:rPr>
          <w:lang w:eastAsia="zh-CN"/>
        </w:rPr>
      </w:pPr>
      <w:r>
        <w:rPr>
          <w:rFonts w:ascii="宋体" w:hAnsi="宋体" w:cs="宋体"/>
          <w:color w:val="000000"/>
          <w:sz w:val="24"/>
          <w:highlight w:val="white"/>
          <w:lang w:eastAsia="zh-CN"/>
        </w:rPr>
        <w:t>（3）证券账目的核对</w:t>
      </w:r>
    </w:p>
    <w:p w:rsidR="00BC44E7" w14:paraId="34AC3271" w14:textId="2E70D938">
      <w:pPr>
        <w:ind w:firstLine="480"/>
        <w:rPr>
          <w:rFonts w:ascii="宋体" w:hAnsi="宋体" w:cs="宋体"/>
          <w:color w:val="000000"/>
          <w:sz w:val="24"/>
          <w:lang w:eastAsia="zh-CN"/>
        </w:rPr>
      </w:pPr>
      <w:r>
        <w:rPr>
          <w:rFonts w:ascii="宋体" w:hAnsi="宋体" w:cs="宋体"/>
          <w:color w:val="000000"/>
          <w:sz w:val="24"/>
          <w:highlight w:val="white"/>
          <w:lang w:eastAsia="zh-CN"/>
        </w:rPr>
        <w:t>基金管理人和基金托管人每估值日结束后核对基金证券账目，确保双方账目相符。</w:t>
      </w:r>
    </w:p>
    <w:p w:rsidR="00BC44E7" w14:paraId="4D17D8AA" w14:textId="77777777">
      <w:pPr>
        <w:ind w:firstLine="480"/>
        <w:rPr>
          <w:lang w:eastAsia="zh-CN"/>
        </w:rPr>
      </w:pPr>
      <w:r>
        <w:rPr>
          <w:rFonts w:ascii="宋体" w:hAnsi="宋体" w:cs="宋体"/>
          <w:color w:val="000000"/>
          <w:sz w:val="24"/>
          <w:highlight w:val="white"/>
          <w:lang w:eastAsia="zh-CN"/>
        </w:rPr>
        <w:t>（三）基金申购和赎回业务处理的基本规定</w:t>
      </w:r>
    </w:p>
    <w:p w:rsidR="00BC44E7" w14:paraId="26DFD3C4" w14:textId="77777777">
      <w:pPr>
        <w:ind w:firstLine="480"/>
        <w:rPr>
          <w:lang w:eastAsia="zh-CN"/>
        </w:rPr>
      </w:pPr>
      <w:r>
        <w:rPr>
          <w:rFonts w:ascii="宋体" w:hAnsi="宋体" w:cs="宋体"/>
          <w:color w:val="000000"/>
          <w:sz w:val="24"/>
          <w:highlight w:val="white"/>
          <w:lang w:eastAsia="zh-CN"/>
        </w:rPr>
        <w:t>1.基金份额申购、赎回的确认、清算由基金管理人或其委托的登记机构负责。</w:t>
      </w:r>
    </w:p>
    <w:p w:rsidR="00BC44E7" w14:paraId="73CBD028" w14:textId="77777777">
      <w:pPr>
        <w:ind w:firstLine="480"/>
        <w:rPr>
          <w:lang w:eastAsia="zh-CN"/>
        </w:rPr>
      </w:pPr>
      <w:r>
        <w:rPr>
          <w:rFonts w:ascii="宋体" w:hAnsi="宋体" w:cs="宋体"/>
          <w:color w:val="000000"/>
          <w:sz w:val="24"/>
          <w:highlight w:val="white"/>
          <w:lang w:eastAsia="zh-CN"/>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BC44E7" w14:paraId="6CFD7315" w14:textId="0933A954">
      <w:pPr>
        <w:ind w:firstLine="480"/>
        <w:rPr>
          <w:lang w:eastAsia="zh-CN"/>
        </w:rPr>
      </w:pPr>
      <w:r>
        <w:rPr>
          <w:rFonts w:ascii="宋体" w:hAnsi="宋体" w:cs="宋体"/>
          <w:color w:val="000000"/>
          <w:sz w:val="24"/>
          <w:highlight w:val="white"/>
          <w:lang w:eastAsia="zh-CN"/>
        </w:rPr>
        <w:t>3.基金管理人应保证本基金（或本基金管理人委托）的登记机构每个工作日15:00</w:t>
      </w:r>
      <w:r>
        <w:rPr>
          <w:rFonts w:ascii="宋体" w:hAnsi="宋体" w:cs="宋体"/>
          <w:color w:val="000000"/>
          <w:sz w:val="24"/>
          <w:highlight w:val="white"/>
          <w:lang w:eastAsia="zh-CN"/>
        </w:rPr>
        <w:t>前向基金托管人发送</w:t>
      </w:r>
      <w:r>
        <w:rPr>
          <w:rFonts w:ascii="宋体" w:hAnsi="宋体" w:cs="宋体"/>
          <w:color w:val="000000"/>
          <w:sz w:val="24"/>
          <w:highlight w:val="white"/>
          <w:lang w:eastAsia="zh-CN"/>
        </w:rPr>
        <w:t>开放日上述有关数据，</w:t>
      </w:r>
      <w:r>
        <w:rPr>
          <w:rFonts w:ascii="宋体" w:hAnsi="宋体" w:cs="宋体"/>
          <w:color w:val="000000"/>
          <w:sz w:val="24"/>
          <w:highlight w:val="white"/>
          <w:lang w:eastAsia="zh-CN"/>
        </w:rPr>
        <w:t>并保证相关数据的准确、完整。</w:t>
      </w:r>
    </w:p>
    <w:p w:rsidR="00BC44E7" w14:paraId="5234E3D7" w14:textId="77777777">
      <w:pPr>
        <w:ind w:firstLine="480"/>
        <w:rPr>
          <w:lang w:eastAsia="zh-CN"/>
        </w:rPr>
      </w:pPr>
      <w:r>
        <w:rPr>
          <w:rFonts w:ascii="宋体" w:hAnsi="宋体" w:cs="宋体"/>
          <w:color w:val="000000"/>
          <w:sz w:val="24"/>
          <w:highlight w:val="white"/>
          <w:lang w:eastAsia="zh-CN"/>
        </w:rPr>
        <w:t>4.登记机构应通过与基金托管人建立的加密系统发送有关数据，如因各种原因，该系统无法正常发送，双方可协商解决处理方式。基金管理人向基金托管人发送的数据，双方各自按有关规定保存。</w:t>
      </w:r>
    </w:p>
    <w:p w:rsidR="00BC44E7" w14:paraId="521588A5" w14:textId="77777777">
      <w:pPr>
        <w:ind w:firstLine="480"/>
        <w:rPr>
          <w:lang w:eastAsia="zh-CN"/>
        </w:rPr>
      </w:pPr>
      <w:r>
        <w:rPr>
          <w:rFonts w:ascii="宋体" w:hAnsi="宋体" w:cs="宋体"/>
          <w:color w:val="000000"/>
          <w:sz w:val="24"/>
          <w:highlight w:val="white"/>
          <w:lang w:eastAsia="zh-CN"/>
        </w:rPr>
        <w:t>5.如基金管理人委托其他机构办理本基金的注册登记业务，应保证上述相关事宜按时进行。否则，由基金管理人承担相应的责任。</w:t>
      </w:r>
    </w:p>
    <w:p w:rsidR="00BC44E7" w14:paraId="1F27FE1B" w14:textId="77777777">
      <w:pPr>
        <w:ind w:firstLine="480"/>
        <w:rPr>
          <w:lang w:eastAsia="zh-CN"/>
        </w:rPr>
      </w:pPr>
      <w:r>
        <w:rPr>
          <w:rFonts w:ascii="宋体" w:hAnsi="宋体" w:cs="宋体"/>
          <w:color w:val="000000"/>
          <w:sz w:val="24"/>
          <w:highlight w:val="white"/>
          <w:lang w:eastAsia="zh-CN"/>
        </w:rPr>
        <w:t>6.关于清算专用账户的设立和管理</w:t>
      </w:r>
    </w:p>
    <w:p w:rsidR="00BC44E7" w14:paraId="5C4C1551" w14:textId="77777777">
      <w:pPr>
        <w:ind w:firstLine="480"/>
        <w:rPr>
          <w:lang w:eastAsia="zh-CN"/>
        </w:rPr>
      </w:pPr>
      <w:r>
        <w:rPr>
          <w:rFonts w:ascii="宋体" w:hAnsi="宋体" w:cs="宋体"/>
          <w:color w:val="000000"/>
          <w:sz w:val="24"/>
          <w:highlight w:val="white"/>
          <w:lang w:eastAsia="zh-CN"/>
        </w:rPr>
        <w:t>为满足申购、赎回及分红资金汇划的需要，由基金管理人开立资金清算的专用账户，该账户由登记机构管理。</w:t>
      </w:r>
    </w:p>
    <w:p w:rsidR="00BC44E7" w14:paraId="6DDAB783" w14:textId="77777777">
      <w:pPr>
        <w:ind w:firstLine="480"/>
        <w:rPr>
          <w:lang w:eastAsia="zh-CN"/>
        </w:rPr>
      </w:pPr>
      <w:r>
        <w:rPr>
          <w:rFonts w:ascii="宋体" w:hAnsi="宋体" w:cs="宋体" w:hint="eastAsia"/>
          <w:color w:val="000000"/>
          <w:sz w:val="24"/>
          <w:highlight w:val="white"/>
          <w:lang w:eastAsia="zh-CN"/>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w:t>
      </w:r>
    </w:p>
    <w:p w:rsidR="00BC44E7" w14:paraId="7ABF1CCA" w14:textId="77777777">
      <w:pPr>
        <w:ind w:firstLine="480"/>
        <w:rPr>
          <w:lang w:eastAsia="zh-CN"/>
        </w:rPr>
      </w:pPr>
      <w:r>
        <w:rPr>
          <w:rFonts w:ascii="宋体" w:hAnsi="宋体" w:cs="宋体"/>
          <w:color w:val="000000"/>
          <w:sz w:val="24"/>
          <w:highlight w:val="white"/>
          <w:lang w:eastAsia="zh-CN"/>
        </w:rPr>
        <w:t>8.赎回和分红资金划拨规定</w:t>
      </w:r>
    </w:p>
    <w:p w:rsidR="00BC44E7" w14:paraId="10C0697F" w14:textId="77777777">
      <w:pPr>
        <w:ind w:firstLine="480"/>
        <w:rPr>
          <w:rFonts w:ascii="宋体" w:hAnsi="宋体" w:cs="宋体"/>
          <w:color w:val="000000"/>
          <w:sz w:val="24"/>
          <w:lang w:eastAsia="zh-CN"/>
        </w:rPr>
      </w:pPr>
      <w:r>
        <w:rPr>
          <w:rFonts w:ascii="宋体" w:hAnsi="宋体" w:cs="宋体" w:hint="eastAsia"/>
          <w:color w:val="000000"/>
          <w:sz w:val="24"/>
          <w:highlight w:val="white"/>
          <w:lang w:eastAsia="zh-CN"/>
        </w:rPr>
        <w:t>拨付赎回款或进行基金分红时，如基金托管资金账户有足够的资金，基金托管人应按时拨付；因基金托管资金账户没有足够的资金，导致基金托管人不能按时拨付，如系基金管理人的原因造成，责任由基金管理人承担，基金托管人不承担垫款义务。</w:t>
      </w:r>
    </w:p>
    <w:p w:rsidR="00BC44E7" w14:paraId="409BE735" w14:textId="77777777">
      <w:pPr>
        <w:ind w:firstLine="480"/>
        <w:rPr>
          <w:rFonts w:ascii="宋体" w:hAnsi="宋体" w:cs="宋体"/>
          <w:color w:val="000000"/>
          <w:sz w:val="24"/>
          <w:lang w:eastAsia="zh-CN"/>
        </w:rPr>
      </w:pPr>
      <w:r>
        <w:rPr>
          <w:rFonts w:ascii="宋体" w:hAnsi="宋体" w:cs="宋体" w:hint="eastAsia"/>
          <w:color w:val="000000"/>
          <w:sz w:val="24"/>
          <w:highlight w:val="white"/>
          <w:lang w:eastAsia="zh-CN"/>
        </w:rPr>
        <w:t>9.资金指令</w:t>
      </w:r>
    </w:p>
    <w:p w:rsidR="00BC44E7" w14:paraId="3801AD54" w14:textId="77777777">
      <w:pPr>
        <w:ind w:firstLine="480"/>
        <w:rPr>
          <w:lang w:eastAsia="zh-CN"/>
        </w:rPr>
      </w:pPr>
      <w:r>
        <w:rPr>
          <w:rFonts w:ascii="宋体" w:hAnsi="宋体" w:cs="宋体" w:hint="eastAsia"/>
          <w:color w:val="000000"/>
          <w:sz w:val="24"/>
          <w:highlight w:val="white"/>
          <w:lang w:eastAsia="zh-CN"/>
        </w:rPr>
        <w:t>除申购款项到达基金托管资金账户需双方按约定方式对账外，回购到期付款和与投资有关的付款、赎回和分红资金划拨时，基金管理人需向基金托管人下达指令。</w:t>
      </w:r>
    </w:p>
    <w:p w:rsidR="00BC44E7" w14:paraId="33633786" w14:textId="77777777">
      <w:pPr>
        <w:ind w:firstLine="480"/>
        <w:rPr>
          <w:rFonts w:ascii="宋体" w:hAnsi="宋体" w:cs="宋体"/>
          <w:color w:val="000000"/>
          <w:sz w:val="24"/>
          <w:lang w:eastAsia="zh-CN"/>
        </w:rPr>
      </w:pPr>
      <w:r>
        <w:rPr>
          <w:rFonts w:ascii="宋体" w:hAnsi="宋体" w:cs="宋体"/>
          <w:color w:val="000000"/>
          <w:sz w:val="24"/>
          <w:highlight w:val="white"/>
          <w:lang w:eastAsia="zh-CN"/>
        </w:rPr>
        <w:t>资金指令的格式、内容、发送、接收和确认方式等与投资指令相同。</w:t>
      </w:r>
    </w:p>
    <w:p w:rsidR="00BC44E7" w14:paraId="0055D884" w14:textId="77777777">
      <w:pPr>
        <w:ind w:firstLine="480"/>
        <w:rPr>
          <w:lang w:eastAsia="zh-CN"/>
        </w:rPr>
      </w:pPr>
      <w:r>
        <w:rPr>
          <w:rFonts w:ascii="宋体" w:hAnsi="宋体" w:cs="宋体"/>
          <w:color w:val="000000"/>
          <w:sz w:val="24"/>
          <w:highlight w:val="white"/>
          <w:lang w:eastAsia="zh-CN"/>
        </w:rPr>
        <w:t>（四）申赎结算</w:t>
      </w:r>
    </w:p>
    <w:p w:rsidR="00BC44E7" w14:paraId="785FE258" w14:textId="77777777">
      <w:pPr>
        <w:ind w:firstLine="480"/>
        <w:rPr>
          <w:rFonts w:ascii="宋体" w:hAnsi="宋体" w:cs="宋体"/>
          <w:color w:val="000000"/>
          <w:sz w:val="24"/>
          <w:lang w:eastAsia="zh-CN"/>
        </w:rPr>
      </w:pPr>
      <w:r>
        <w:rPr>
          <w:rFonts w:ascii="宋体" w:hAnsi="宋体" w:cs="宋体" w:hint="eastAsia"/>
          <w:color w:val="000000"/>
          <w:sz w:val="24"/>
          <w:highlight w:val="white"/>
          <w:lang w:eastAsia="zh-CN"/>
        </w:rPr>
        <w:t>1.基金托管资金账户与“基金清算账户”间的资金清算遵循“全额清算、净额交收”的原则，即按照托管资金账户应收资金与托管资金账户应付额的差额来确定托管资金账户净应收额或净应付额，以此确定资金交收额。</w:t>
      </w:r>
    </w:p>
    <w:p w:rsidR="00BC44E7" w14:paraId="117B3220" w14:textId="77777777">
      <w:pPr>
        <w:ind w:firstLine="480"/>
        <w:rPr>
          <w:lang w:eastAsia="zh-CN"/>
        </w:rPr>
      </w:pPr>
      <w:r>
        <w:rPr>
          <w:rFonts w:ascii="宋体" w:hAnsi="宋体" w:cs="宋体" w:hint="eastAsia"/>
          <w:color w:val="000000"/>
          <w:sz w:val="24"/>
          <w:highlight w:val="white"/>
          <w:lang w:eastAsia="zh-CN"/>
        </w:rPr>
        <w:t>2.当存在托管资金账户净应收额时，基金管理人负责将托管资金账户净应收额在交收日15:00前从“基金清算账户”划往基金的托管资金账户；当存在托管资金账户净应付额时，基金管理人应在交收日10:00前将划款指令发送给基金托管人，基金托管人按基金管理人的划款指令将托管资金账户净应付额在交收日15:00之前划往基金清算账户。</w:t>
      </w:r>
    </w:p>
    <w:p w:rsidR="00BC44E7" w14:paraId="3E3EA38E" w14:textId="77777777">
      <w:pPr>
        <w:ind w:firstLine="480"/>
        <w:rPr>
          <w:rFonts w:ascii="宋体" w:hAnsi="宋体" w:cs="宋体"/>
          <w:color w:val="000000"/>
          <w:sz w:val="24"/>
          <w:lang w:eastAsia="zh-CN"/>
        </w:rPr>
      </w:pPr>
      <w:r>
        <w:rPr>
          <w:rFonts w:ascii="宋体" w:hAnsi="宋体" w:cs="宋体"/>
          <w:color w:val="000000"/>
          <w:sz w:val="24"/>
          <w:highlight w:val="white"/>
          <w:lang w:eastAsia="zh-CN"/>
        </w:rPr>
        <w:t>在发生巨额赎回或《基金合同》载明的其他暂停赎回或延缓支付赎回款项的情形时，款项的支付办法参照《基金合同》有关条款处理。</w:t>
      </w:r>
    </w:p>
    <w:p w:rsidR="00BC44E7" w14:paraId="041565B1" w14:textId="77777777">
      <w:pPr>
        <w:ind w:firstLine="480"/>
        <w:rPr>
          <w:lang w:eastAsia="zh-CN"/>
        </w:rPr>
      </w:pPr>
      <w:r>
        <w:rPr>
          <w:rFonts w:ascii="宋体" w:hAnsi="宋体" w:cs="宋体"/>
          <w:color w:val="000000"/>
          <w:sz w:val="24"/>
          <w:highlight w:val="white"/>
          <w:lang w:eastAsia="zh-CN"/>
        </w:rPr>
        <w:t>（五）基金现金分红</w:t>
      </w:r>
    </w:p>
    <w:p w:rsidR="00BC44E7" w14:paraId="43EAE861" w14:textId="77777777">
      <w:pPr>
        <w:ind w:firstLine="480"/>
        <w:rPr>
          <w:lang w:eastAsia="zh-CN"/>
        </w:rPr>
      </w:pPr>
      <w:r>
        <w:rPr>
          <w:rFonts w:ascii="宋体" w:hAnsi="宋体" w:cs="宋体"/>
          <w:color w:val="000000"/>
          <w:sz w:val="24"/>
          <w:highlight w:val="white"/>
          <w:lang w:eastAsia="zh-CN"/>
        </w:rPr>
        <w:t>1.基金管理人确定分红方案通知基金托管人，双方核定后依照《信息披露办法》的有关规定在规定媒介上公告。</w:t>
      </w:r>
    </w:p>
    <w:p w:rsidR="00BC44E7" w14:paraId="25E1AA1B" w14:textId="77777777">
      <w:pPr>
        <w:ind w:firstLine="480"/>
        <w:rPr>
          <w:lang w:eastAsia="zh-CN"/>
        </w:rPr>
      </w:pPr>
      <w:r>
        <w:rPr>
          <w:rFonts w:ascii="宋体" w:hAnsi="宋体" w:cs="宋体"/>
          <w:color w:val="000000"/>
          <w:sz w:val="24"/>
          <w:highlight w:val="white"/>
          <w:lang w:eastAsia="zh-CN"/>
        </w:rPr>
        <w:t>2.基金托管人和基金管理人对基金分红进行账务处理并核对后，基金管理人向基金托管人发送现金红利的划款指令，基金托管人应及时将资金划入专用账户。</w:t>
      </w:r>
    </w:p>
    <w:p w:rsidR="00BC44E7" w14:paraId="5D47919E" w14:textId="77777777">
      <w:pPr>
        <w:ind w:firstLine="480"/>
        <w:rPr>
          <w:lang w:eastAsia="zh-CN"/>
        </w:rPr>
      </w:pPr>
      <w:r>
        <w:rPr>
          <w:rFonts w:ascii="宋体" w:hAnsi="宋体" w:cs="宋体"/>
          <w:color w:val="000000"/>
          <w:sz w:val="24"/>
          <w:highlight w:val="white"/>
          <w:lang w:eastAsia="zh-CN"/>
        </w:rPr>
        <w:t>3.基金管理人在下达指令时，应给基金托管人留出必需的划款时间。</w:t>
      </w:r>
    </w:p>
    <w:p w:rsidR="00BC44E7" w14:paraId="1DAA4300" w14:textId="77777777">
      <w:pPr>
        <w:ind w:firstLine="480"/>
        <w:rPr>
          <w:lang w:eastAsia="zh-CN"/>
        </w:rPr>
      </w:pPr>
      <w:r>
        <w:rPr>
          <w:rFonts w:ascii="宋体" w:hAnsi="宋体" w:cs="宋体"/>
          <w:color w:val="000000"/>
          <w:sz w:val="24"/>
          <w:highlight w:val="white"/>
          <w:lang w:eastAsia="zh-CN"/>
        </w:rPr>
        <w:t>（六）投资银行存款的特别约定</w:t>
      </w:r>
    </w:p>
    <w:p w:rsidR="00BC44E7" w14:paraId="27D9205B" w14:textId="77777777">
      <w:pPr>
        <w:ind w:firstLine="480"/>
        <w:rPr>
          <w:lang w:eastAsia="zh-CN"/>
        </w:rPr>
      </w:pPr>
      <w:r>
        <w:rPr>
          <w:rFonts w:ascii="宋体" w:hAnsi="宋体" w:cs="宋体"/>
          <w:color w:val="000000"/>
          <w:sz w:val="24"/>
          <w:highlight w:val="white"/>
          <w:lang w:eastAsia="zh-CN"/>
        </w:rPr>
        <w:t>1.本基金投资银行存款前，基金管理人应与存款银行签订具体存款协议，包括但不限于以下内容：</w:t>
      </w:r>
    </w:p>
    <w:p w:rsidR="00BC44E7" w14:paraId="4FBB163A" w14:textId="77777777">
      <w:pPr>
        <w:ind w:firstLine="480"/>
        <w:rPr>
          <w:lang w:eastAsia="zh-CN"/>
        </w:rPr>
      </w:pPr>
      <w:r>
        <w:rPr>
          <w:rFonts w:ascii="宋体" w:hAnsi="宋体" w:cs="宋体" w:hint="eastAsia"/>
          <w:color w:val="000000"/>
          <w:sz w:val="24"/>
          <w:highlight w:val="white"/>
          <w:lang w:eastAsia="zh-CN"/>
        </w:rPr>
        <w:t>（1）存款账户必须以本基金名义开立,并将基金托管人为本基金开立的基金托管资金账户指定为唯一回款账户，任何情况下，存款银行都不得将存款投资本息划往任何其他账户。</w:t>
      </w:r>
    </w:p>
    <w:p w:rsidR="00BC44E7" w14:paraId="5750A0BC" w14:textId="77777777">
      <w:pPr>
        <w:ind w:firstLine="480"/>
        <w:rPr>
          <w:lang w:eastAsia="zh-CN"/>
        </w:rPr>
      </w:pPr>
      <w:r>
        <w:rPr>
          <w:rFonts w:ascii="宋体" w:hAnsi="宋体" w:cs="宋体"/>
          <w:color w:val="000000"/>
          <w:sz w:val="24"/>
          <w:highlight w:val="white"/>
          <w:lang w:eastAsia="zh-CN"/>
        </w:rPr>
        <w:t>（2）存款银行不得接受基金管理人或基金托管人任何一方单方面提出的对存款进行更名、转让、挂失、质押、担保、撤销、变更印鉴及回款账户信息等可能导致财产转移的操作申请。</w:t>
      </w:r>
    </w:p>
    <w:p w:rsidR="00BC44E7" w14:paraId="4B333B31" w14:textId="77777777">
      <w:pPr>
        <w:ind w:firstLine="480"/>
        <w:rPr>
          <w:lang w:eastAsia="zh-CN"/>
        </w:rPr>
      </w:pPr>
      <w:r>
        <w:rPr>
          <w:rFonts w:ascii="宋体" w:hAnsi="宋体" w:cs="宋体"/>
          <w:color w:val="000000"/>
          <w:sz w:val="24"/>
          <w:highlight w:val="white"/>
          <w:lang w:eastAsia="zh-CN"/>
        </w:rPr>
        <w:t>（3）约定存款证实书的具体传递交接方式及交接期限。</w:t>
      </w:r>
    </w:p>
    <w:p w:rsidR="00BC44E7" w14:paraId="07729A0D" w14:textId="77777777">
      <w:pPr>
        <w:ind w:firstLine="480"/>
        <w:rPr>
          <w:lang w:eastAsia="zh-CN"/>
        </w:rPr>
      </w:pPr>
      <w:r>
        <w:rPr>
          <w:rFonts w:ascii="宋体" w:hAnsi="宋体" w:cs="宋体"/>
          <w:color w:val="000000"/>
          <w:sz w:val="24"/>
          <w:highlight w:val="white"/>
          <w:lang w:eastAsia="zh-CN"/>
        </w:rPr>
        <w:t>（4）资金划转过程中需要使用存款银行过渡账户的，存款银行须保证资金在过渡账户中不出现滞留，不被挪用。</w:t>
      </w:r>
    </w:p>
    <w:p w:rsidR="00BC44E7" w14:paraId="528C90A1" w14:textId="77777777">
      <w:pPr>
        <w:ind w:firstLine="480"/>
        <w:rPr>
          <w:lang w:eastAsia="zh-CN"/>
        </w:rPr>
      </w:pPr>
      <w:r>
        <w:rPr>
          <w:rFonts w:ascii="宋体" w:hAnsi="宋体" w:cs="宋体"/>
          <w:color w:val="000000"/>
          <w:sz w:val="24"/>
          <w:highlight w:val="white"/>
          <w:lang w:eastAsia="zh-CN"/>
        </w:rPr>
        <w:t>2.本基金投资银行存款，必须采用双方认可的方式办理。基金托管人负责依据基金管理人提供的银行存款投资合同/协议/成交单、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rsidR="00BC44E7" w14:paraId="75955B42" w14:textId="77777777">
      <w:pPr>
        <w:ind w:firstLine="480"/>
        <w:rPr>
          <w:lang w:eastAsia="zh-CN"/>
        </w:rPr>
      </w:pPr>
      <w:r>
        <w:rPr>
          <w:rFonts w:ascii="宋体" w:hAnsi="宋体" w:cs="宋体"/>
          <w:color w:val="000000"/>
          <w:sz w:val="24"/>
          <w:highlight w:val="white"/>
          <w:lang w:eastAsia="zh-CN"/>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BC44E7" w14:paraId="7DDAECF5" w14:textId="77777777">
      <w:pPr>
        <w:ind w:firstLine="480"/>
        <w:rPr>
          <w:rFonts w:ascii="宋体" w:hAnsi="宋体" w:cs="宋体"/>
          <w:color w:val="000000"/>
          <w:sz w:val="24"/>
          <w:lang w:eastAsia="zh-CN"/>
        </w:rPr>
      </w:pPr>
      <w:r>
        <w:rPr>
          <w:rFonts w:ascii="宋体" w:hAnsi="宋体" w:cs="宋体" w:hint="eastAsia"/>
          <w:color w:val="000000"/>
          <w:sz w:val="24"/>
          <w:highlight w:val="white"/>
          <w:lang w:eastAsia="zh-CN"/>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rsidR="00BC44E7" w14:paraId="52C1681E" w14:textId="77777777">
      <w:pPr>
        <w:ind w:firstLine="480"/>
        <w:rPr>
          <w:rFonts w:ascii="宋体" w:hAnsi="宋体" w:cs="宋体"/>
          <w:color w:val="000000"/>
          <w:sz w:val="24"/>
          <w:lang w:eastAsia="zh-CN"/>
        </w:rPr>
      </w:pPr>
      <w:r>
        <w:rPr>
          <w:rFonts w:ascii="宋体" w:hAnsi="宋体" w:cs="宋体" w:hint="eastAsia"/>
          <w:color w:val="000000"/>
          <w:sz w:val="24"/>
          <w:highlight w:val="white"/>
          <w:lang w:eastAsia="zh-CN"/>
        </w:rPr>
        <w:t>（七）托管产品通过第三方销售机构参与开放式基金投资的特别约定</w:t>
      </w:r>
    </w:p>
    <w:p w:rsidR="00BC44E7" w14:paraId="60C41D24" w14:textId="63DC3B46">
      <w:pPr>
        <w:ind w:firstLine="480"/>
        <w:rPr>
          <w:rFonts w:ascii="宋体" w:hAnsi="宋体" w:cs="宋体"/>
          <w:color w:val="000000"/>
          <w:sz w:val="24"/>
          <w:lang w:eastAsia="zh-CN"/>
        </w:rPr>
      </w:pPr>
      <w:r>
        <w:rPr>
          <w:rFonts w:ascii="宋体" w:hAnsi="宋体" w:cs="宋体" w:hint="eastAsia"/>
          <w:color w:val="000000"/>
          <w:sz w:val="24"/>
          <w:highlight w:val="white"/>
          <w:lang w:eastAsia="zh-CN"/>
        </w:rPr>
        <w:t>本产品可以通过第三方基金销售机构渠道投资开放式基金。为维护产品持有人利益、保障资产安全，投资管理人应负责制订选择第三方基金销售机构的标准和程序，并据此选择第三方销售机构。</w:t>
      </w:r>
      <w:r>
        <w:rPr>
          <w:rFonts w:ascii="宋体" w:hAnsi="宋体" w:cs="宋体"/>
          <w:color w:val="000000"/>
          <w:sz w:val="24"/>
          <w:highlight w:val="white"/>
          <w:lang w:eastAsia="zh-CN"/>
        </w:rPr>
        <w:t>对于第三方基金销售机构原因给本产品造成损失的，相关责任不由托管人承担，由基金管理人负责追偿</w:t>
      </w:r>
      <w:r>
        <w:rPr>
          <w:rFonts w:ascii="宋体" w:hAnsi="宋体" w:cs="宋体" w:hint="eastAsia"/>
          <w:color w:val="000000"/>
          <w:sz w:val="24"/>
          <w:highlight w:val="white"/>
          <w:lang w:eastAsia="zh-CN"/>
        </w:rPr>
        <w:t>。</w:t>
      </w:r>
    </w:p>
    <w:p w:rsidR="00BC44E7" w14:paraId="5E9ECA8A" w14:textId="77777777">
      <w:pPr>
        <w:ind w:firstLine="480"/>
        <w:rPr>
          <w:lang w:eastAsia="zh-CN"/>
        </w:rPr>
      </w:pPr>
    </w:p>
    <w:p w:rsidR="00BC44E7" w14:paraId="0CCCEF85" w14:textId="77777777">
      <w:pPr>
        <w:rPr>
          <w:rFonts w:ascii="宋体" w:hAnsi="宋体" w:cs="宋体"/>
          <w:sz w:val="24"/>
          <w:lang w:eastAsia="zh-CN"/>
        </w:rPr>
      </w:pPr>
    </w:p>
    <w:p w:rsidR="00BC44E7" w14:paraId="2D0D7D8F" w14:textId="77777777">
      <w:pPr>
        <w:snapToGrid w:val="0"/>
        <w:ind w:firstLine="480"/>
        <w:rPr>
          <w:rFonts w:ascii="宋体" w:hAnsi="宋体" w:cs="宋体"/>
          <w:sz w:val="24"/>
          <w:lang w:eastAsia="zh-CN"/>
        </w:rPr>
      </w:pPr>
    </w:p>
    <w:p w:rsidR="00BC44E7" w14:paraId="7996B249" w14:textId="77777777">
      <w:pPr>
        <w:pStyle w:val="21"/>
        <w:jc w:val="center"/>
        <w:rPr>
          <w:rFonts w:ascii="宋体" w:eastAsia="宋体" w:hAnsi="宋体" w:cs="宋体"/>
          <w:sz w:val="30"/>
          <w:lang w:eastAsia="zh-CN"/>
        </w:rPr>
      </w:pPr>
      <w:r>
        <w:rPr>
          <w:rFonts w:ascii="宋体" w:eastAsia="宋体" w:hAnsi="宋体" w:cs="宋体" w:hint="eastAsia"/>
          <w:sz w:val="30"/>
          <w:highlight w:val="white"/>
          <w:lang w:eastAsia="zh-CN"/>
        </w:rPr>
        <w:t xml:space="preserve"> </w:t>
      </w:r>
      <w:bookmarkStart w:id="86" w:name="_Toc68875910"/>
      <w:r>
        <w:rPr>
          <w:rFonts w:ascii="宋体" w:eastAsia="宋体" w:hAnsi="宋体" w:cs="宋体" w:hint="eastAsia"/>
          <w:sz w:val="30"/>
          <w:highlight w:val="white"/>
          <w:lang w:eastAsia="zh-CN"/>
        </w:rPr>
        <w:t>八、基金资产净值计算和会计核算</w:t>
      </w:r>
      <w:bookmarkEnd w:id="86"/>
    </w:p>
    <w:p w:rsidR="00BC44E7" w14:paraId="25428478"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（一）基金资产净值的计算、复核与完成的时间及程序</w:t>
      </w:r>
    </w:p>
    <w:p w:rsidR="00BC44E7" w14:paraId="03E0C371" w14:textId="77777777">
      <w:pPr>
        <w:snapToGrid w:val="0"/>
        <w:ind w:firstLine="480"/>
        <w:rPr>
          <w:rFonts w:ascii="宋体" w:hAnsi="宋体" w:cs="宋体"/>
          <w:sz w:val="24"/>
          <w:lang w:eastAsia="zh-CN"/>
        </w:rPr>
      </w:pPr>
      <w:r>
        <w:rPr>
          <w:rFonts w:ascii="宋体" w:hAnsi="宋体" w:cs="宋体" w:hint="eastAsia"/>
          <w:sz w:val="24"/>
          <w:highlight w:val="white"/>
          <w:lang w:eastAsia="zh-CN"/>
        </w:rPr>
        <w:t>1.基金资产净值是指基金资产总值减去负债后的金额。各类基金份额净值是按照每个估值日闭市后，该类基金资产净值除以当日该类基金份额的余额数量计算，均精确到0.0001元，小数点后第五位四舍五入。基金管理人可以设立大额赎回情形下的净值精度应急调整机制。国家另有规定的，从其规定。</w:t>
      </w:r>
    </w:p>
    <w:p w:rsidR="00BC44E7" w14:paraId="60B68357" w14:textId="77777777">
      <w:pPr>
        <w:snapToGrid w:val="0"/>
        <w:ind w:firstLine="480"/>
        <w:rPr>
          <w:rFonts w:ascii="宋体" w:hAnsi="宋体" w:cs="宋体"/>
          <w:sz w:val="24"/>
          <w:lang w:eastAsia="zh-CN"/>
        </w:rPr>
      </w:pPr>
      <w:r>
        <w:rPr>
          <w:rFonts w:ascii="宋体" w:hAnsi="宋体" w:cs="宋体" w:hint="eastAsia"/>
          <w:sz w:val="24"/>
          <w:highlight w:val="white"/>
          <w:lang w:eastAsia="zh-CN"/>
        </w:rPr>
        <w:t>每个估值日后的两个工作日内计算基金资产净值及各类基金份额净值，并按规定公告。</w:t>
      </w:r>
    </w:p>
    <w:p w:rsidR="00BC44E7" w14:paraId="54D990C6" w14:textId="77777777">
      <w:pPr>
        <w:snapToGrid w:val="0"/>
        <w:ind w:firstLine="480"/>
        <w:rPr>
          <w:rFonts w:ascii="宋体" w:hAnsi="宋体" w:cs="宋体"/>
          <w:sz w:val="24"/>
          <w:lang w:eastAsia="zh-CN"/>
        </w:rPr>
      </w:pPr>
      <w:r>
        <w:rPr>
          <w:rFonts w:ascii="宋体" w:hAnsi="宋体" w:cs="宋体" w:hint="eastAsia"/>
          <w:sz w:val="24"/>
          <w:highlight w:val="white"/>
          <w:lang w:eastAsia="zh-CN"/>
        </w:rPr>
        <w:t>2.基金管理人应每个估值日后的两个工作日内对基金资产估值。但基金管理人根据法律法规或《基金合同》的规定暂停估值时除外。基金管理人每个估值日后的两个工作日内对基金资产估值后，经基金托管人复核无误后，由基金管理人按规定对外公布。</w:t>
      </w:r>
    </w:p>
    <w:p w:rsidR="00BC44E7" w14:paraId="3993D28C" w14:textId="77777777">
      <w:pPr>
        <w:ind w:firstLine="480"/>
        <w:rPr>
          <w:rFonts w:ascii="宋体" w:hAnsi="宋体" w:cs="宋体"/>
          <w:sz w:val="24"/>
          <w:lang w:eastAsia="zh-CN"/>
        </w:rPr>
      </w:pPr>
      <w:r>
        <w:rPr>
          <w:rFonts w:ascii="宋体" w:hAnsi="宋体" w:cs="宋体" w:hint="eastAsia"/>
          <w:sz w:val="24"/>
          <w:highlight w:val="white"/>
          <w:lang w:eastAsia="zh-CN"/>
        </w:rPr>
        <w:t>（二）基金资产估值方法和特殊情形的处理</w:t>
      </w:r>
    </w:p>
    <w:p w:rsidR="00BC44E7" w14:paraId="77011DCC" w14:textId="77777777">
      <w:pPr>
        <w:snapToGrid w:val="0"/>
        <w:ind w:firstLine="480"/>
        <w:rPr>
          <w:rFonts w:ascii="宋体" w:hAnsi="宋体" w:cs="宋体"/>
          <w:sz w:val="24"/>
          <w:lang w:eastAsia="zh-CN"/>
        </w:rPr>
      </w:pPr>
      <w:r>
        <w:rPr>
          <w:rFonts w:ascii="宋体" w:hAnsi="宋体" w:cs="宋体" w:hint="eastAsia"/>
          <w:sz w:val="24"/>
          <w:highlight w:val="white"/>
          <w:lang w:eastAsia="zh-CN"/>
        </w:rPr>
        <w:t>1.估值对象</w:t>
      </w:r>
    </w:p>
    <w:p w:rsidR="00BC44E7" w14:paraId="00E10C41" w14:textId="77777777">
      <w:pPr>
        <w:snapToGrid w:val="0"/>
        <w:ind w:firstLine="480"/>
        <w:rPr>
          <w:rFonts w:ascii="宋体" w:hAnsi="宋体" w:cs="宋体"/>
          <w:sz w:val="24"/>
          <w:lang w:eastAsia="zh-CN"/>
        </w:rPr>
      </w:pPr>
      <w:r>
        <w:rPr>
          <w:rFonts w:ascii="宋体" w:hAnsi="宋体" w:cs="宋体"/>
          <w:sz w:val="24"/>
          <w:highlight w:val="white"/>
          <w:lang w:eastAsia="zh-CN"/>
        </w:rPr>
        <w:t>基金所拥有的证券投资基金、股票、债券和银行存款本息、应收款项、其它投资等资产及负债。</w:t>
      </w:r>
    </w:p>
    <w:p w:rsidR="00BC44E7" w14:paraId="549FD7E1" w14:textId="77777777">
      <w:pPr>
        <w:snapToGrid w:val="0"/>
        <w:ind w:firstLine="480"/>
        <w:rPr>
          <w:rFonts w:ascii="宋体" w:hAnsi="宋体" w:cs="宋体"/>
          <w:sz w:val="24"/>
          <w:lang w:eastAsia="zh-CN"/>
        </w:rPr>
      </w:pPr>
      <w:r>
        <w:rPr>
          <w:rFonts w:ascii="宋体" w:hAnsi="宋体" w:cs="宋体" w:hint="eastAsia"/>
          <w:sz w:val="24"/>
          <w:highlight w:val="white"/>
          <w:lang w:eastAsia="zh-CN"/>
        </w:rPr>
        <w:t>2.估值方法</w:t>
      </w:r>
    </w:p>
    <w:p w:rsidR="00BC44E7" w14:paraId="1329AA69" w14:textId="77777777">
      <w:pPr>
        <w:snapToGrid w:val="0"/>
        <w:ind w:firstLine="480"/>
        <w:rPr>
          <w:rFonts w:ascii="宋体" w:hAnsi="宋体" w:cs="宋体"/>
          <w:sz w:val="24"/>
          <w:lang w:eastAsia="zh-CN"/>
        </w:rPr>
      </w:pPr>
      <w:r>
        <w:rPr>
          <w:rFonts w:ascii="宋体" w:hAnsi="宋体" w:cs="宋体" w:hint="eastAsia"/>
          <w:sz w:val="24"/>
          <w:highlight w:val="white"/>
          <w:lang w:eastAsia="zh-CN"/>
        </w:rPr>
        <w:t>本基金所持有的投资品种，按如下原则进行估值：</w:t>
      </w:r>
    </w:p>
    <w:p w:rsidR="00BC44E7" w14:paraId="407B2AA7" w14:textId="77777777">
      <w:pPr>
        <w:snapToGrid w:val="0"/>
        <w:ind w:firstLine="480"/>
        <w:rPr>
          <w:rFonts w:ascii="宋体" w:hAnsi="宋体" w:cs="宋体"/>
          <w:sz w:val="24"/>
          <w:lang w:eastAsia="zh-CN"/>
        </w:rPr>
      </w:pPr>
      <w:r>
        <w:rPr>
          <w:sz w:val="24"/>
          <w:highlight w:val="white"/>
          <w:lang w:eastAsia="zh-CN"/>
        </w:rPr>
        <w:t>（</w:t>
      </w:r>
      <w:r>
        <w:rPr>
          <w:rFonts w:ascii="宋体" w:hAnsi="宋体" w:cs="宋体"/>
          <w:sz w:val="24"/>
          <w:highlight w:val="white"/>
          <w:lang w:eastAsia="zh-CN"/>
        </w:rPr>
        <w:t>1</w:t>
      </w:r>
      <w:r>
        <w:rPr>
          <w:sz w:val="24"/>
          <w:highlight w:val="white"/>
          <w:lang w:eastAsia="zh-CN"/>
        </w:rPr>
        <w:t>）</w:t>
      </w:r>
      <w:r>
        <w:rPr>
          <w:rFonts w:ascii="宋体" w:hAnsi="宋体" w:cs="宋体"/>
          <w:sz w:val="24"/>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C44E7" w14:paraId="50201E76" w14:textId="77777777">
      <w:pPr>
        <w:snapToGrid w:val="0"/>
        <w:ind w:firstLine="480"/>
        <w:rPr>
          <w:rFonts w:ascii="宋体" w:hAnsi="宋体" w:cs="宋体"/>
          <w:sz w:val="24"/>
          <w:lang w:eastAsia="zh-CN"/>
        </w:rPr>
      </w:pPr>
      <w:r>
        <w:rPr>
          <w:rFonts w:ascii="宋体" w:hAnsi="宋体" w:cs="宋体"/>
          <w:sz w:val="24"/>
          <w:highlight w:val="white"/>
          <w:lang w:eastAsia="zh-CN"/>
        </w:rPr>
        <w:t>（2）处于未上市期间的有价证券应区分如下情况处理：</w:t>
      </w:r>
    </w:p>
    <w:p w:rsidR="00BC44E7" w14:paraId="7B3D6DE1" w14:textId="77777777">
      <w:pPr>
        <w:snapToGrid w:val="0"/>
        <w:ind w:firstLine="480"/>
        <w:rPr>
          <w:rFonts w:ascii="宋体" w:hAnsi="宋体" w:cs="宋体"/>
          <w:sz w:val="24"/>
          <w:lang w:eastAsia="zh-CN"/>
        </w:rPr>
      </w:pPr>
      <w:r>
        <w:rPr>
          <w:rFonts w:ascii="宋体" w:hAnsi="宋体" w:cs="宋体"/>
          <w:sz w:val="24"/>
          <w:highlight w:val="white"/>
          <w:lang w:eastAsia="zh-CN"/>
        </w:rPr>
        <w:t>1）送股、转增股、配股和公开增发的新股，按估值日在证券交易所挂牌的同一股票的估值方法估值；该日无交易的，以最近一日的市价（收盘价）估值；</w:t>
      </w:r>
    </w:p>
    <w:p w:rsidR="00BC44E7" w14:paraId="7EAD48D8" w14:textId="77777777">
      <w:pPr>
        <w:snapToGrid w:val="0"/>
        <w:ind w:firstLine="480"/>
        <w:rPr>
          <w:rFonts w:ascii="宋体" w:hAnsi="宋体" w:cs="宋体"/>
          <w:sz w:val="24"/>
          <w:lang w:eastAsia="zh-CN"/>
        </w:rPr>
      </w:pPr>
      <w:r>
        <w:rPr>
          <w:rFonts w:ascii="宋体" w:hAnsi="宋体" w:cs="宋体"/>
          <w:sz w:val="24"/>
          <w:highlight w:val="white"/>
          <w:lang w:eastAsia="zh-CN"/>
        </w:rPr>
        <w:t>2）首次公开发行未上市的股票，采用估值技术确定公允价值；</w:t>
      </w:r>
    </w:p>
    <w:p w:rsidR="00BC44E7" w14:paraId="58D08D43" w14:textId="77777777">
      <w:pPr>
        <w:snapToGrid w:val="0"/>
        <w:ind w:firstLine="480"/>
        <w:rPr>
          <w:rFonts w:ascii="宋体" w:hAnsi="宋体" w:cs="宋体"/>
          <w:sz w:val="24"/>
          <w:lang w:eastAsia="zh-CN"/>
        </w:rPr>
      </w:pPr>
      <w:r>
        <w:rPr>
          <w:rFonts w:ascii="宋体" w:hAnsi="宋体" w:cs="宋体"/>
          <w:sz w:val="24"/>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BC44E7" w14:paraId="53C83AD9" w14:textId="77777777">
      <w:pPr>
        <w:snapToGrid w:val="0"/>
        <w:ind w:firstLine="480"/>
        <w:rPr>
          <w:rFonts w:ascii="宋体" w:hAnsi="宋体" w:cs="宋体"/>
          <w:sz w:val="24"/>
          <w:lang w:eastAsia="zh-CN"/>
        </w:rPr>
      </w:pPr>
      <w:r>
        <w:rPr>
          <w:rFonts w:ascii="宋体" w:hAnsi="宋体" w:cs="宋体"/>
          <w:sz w:val="24"/>
          <w:highlight w:val="white"/>
          <w:lang w:eastAsia="zh-CN"/>
        </w:rPr>
        <w:t>（3）对于已上市或已挂牌转让的不含权固定收益品种，选取估值日第三方估值基准服务机构提供的相应品种当日的估值全价进行估值。</w:t>
      </w:r>
    </w:p>
    <w:p w:rsidR="00BC44E7" w14:paraId="43868C2B" w14:textId="77777777">
      <w:pPr>
        <w:snapToGrid w:val="0"/>
        <w:ind w:firstLine="480"/>
        <w:rPr>
          <w:rFonts w:ascii="宋体" w:hAnsi="宋体" w:cs="宋体"/>
          <w:sz w:val="24"/>
          <w:lang w:eastAsia="zh-CN"/>
        </w:rPr>
      </w:pPr>
      <w:r>
        <w:rPr>
          <w:rFonts w:ascii="宋体" w:hAnsi="宋体" w:cs="宋体"/>
          <w:sz w:val="24"/>
          <w:highlight w:val="white"/>
          <w:lang w:eastAsia="zh-CN"/>
        </w:rPr>
        <w:t>（4）对于已上市或已挂牌转让的含权固定收益品种，选取估值日第三方估值基准服务机构提供的相应品种当日的唯一估值全价或推荐估值全价进行估值。</w:t>
      </w:r>
    </w:p>
    <w:p w:rsidR="00BC44E7" w14:paraId="1BBC38B2" w14:textId="77777777">
      <w:pPr>
        <w:snapToGrid w:val="0"/>
        <w:ind w:firstLine="480"/>
        <w:rPr>
          <w:rFonts w:ascii="宋体" w:hAnsi="宋体" w:cs="宋体"/>
          <w:sz w:val="24"/>
          <w:lang w:eastAsia="zh-CN"/>
        </w:rPr>
      </w:pPr>
      <w:r>
        <w:rPr>
          <w:rFonts w:ascii="宋体" w:hAnsi="宋体" w:cs="宋体"/>
          <w:sz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BC44E7" w14:paraId="1ED7CDCC" w14:textId="77777777">
      <w:pPr>
        <w:snapToGrid w:val="0"/>
        <w:ind w:firstLine="480"/>
        <w:rPr>
          <w:rFonts w:ascii="宋体" w:hAnsi="宋体" w:cs="宋体"/>
          <w:sz w:val="24"/>
          <w:lang w:eastAsia="zh-CN"/>
        </w:rPr>
      </w:pPr>
      <w:r>
        <w:rPr>
          <w:rFonts w:ascii="宋体" w:hAnsi="宋体" w:cs="宋体"/>
          <w:sz w:val="24"/>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BC44E7" w14:paraId="57FEC960" w14:textId="77777777">
      <w:pPr>
        <w:snapToGrid w:val="0"/>
        <w:ind w:firstLine="480"/>
        <w:rPr>
          <w:rFonts w:ascii="宋体" w:hAnsi="宋体" w:cs="宋体"/>
          <w:sz w:val="24"/>
          <w:lang w:eastAsia="zh-CN"/>
        </w:rPr>
      </w:pPr>
      <w:r>
        <w:rPr>
          <w:rFonts w:ascii="宋体" w:hAnsi="宋体" w:cs="宋体"/>
          <w:sz w:val="24"/>
          <w:highlight w:val="white"/>
          <w:lang w:eastAsia="zh-CN"/>
        </w:rPr>
        <w:t>（6）对于未上市或未挂牌转让且不存在活跃市场的固定收益品种，采用在当前情况下适用并且有足够可利用数据和其他信息支持的估值技术确定其公允价值。</w:t>
      </w:r>
    </w:p>
    <w:p w:rsidR="00BC44E7" w14:paraId="64803F8A" w14:textId="77777777">
      <w:pPr>
        <w:snapToGrid w:val="0"/>
        <w:ind w:firstLine="480"/>
        <w:rPr>
          <w:rFonts w:ascii="宋体" w:hAnsi="宋体" w:cs="宋体"/>
          <w:sz w:val="24"/>
          <w:lang w:eastAsia="zh-CN"/>
        </w:rPr>
      </w:pPr>
      <w:r>
        <w:rPr>
          <w:rFonts w:ascii="宋体" w:hAnsi="宋体" w:cs="宋体"/>
          <w:sz w:val="24"/>
          <w:highlight w:val="white"/>
          <w:lang w:eastAsia="zh-CN"/>
        </w:rPr>
        <w:t>（7）对于交易所上市的ETF基金、境内上市定期开放式基金、封闭式基金，按估值日的收盘价估值；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当基金管理人认为所投资基金按上述条款进行估值存在不公允时，应与托管人协商一致采用合理的估值技术或估值标准确定其公允价值；</w:t>
      </w:r>
    </w:p>
    <w:p w:rsidR="00BC44E7" w14:paraId="27127EE8" w14:textId="77777777">
      <w:pPr>
        <w:snapToGrid w:val="0"/>
        <w:ind w:firstLine="480"/>
        <w:rPr>
          <w:rFonts w:ascii="宋体" w:hAnsi="宋体" w:cs="宋体"/>
          <w:sz w:val="24"/>
          <w:lang w:eastAsia="zh-CN"/>
        </w:rPr>
      </w:pPr>
      <w:r>
        <w:rPr>
          <w:rFonts w:ascii="宋体" w:hAnsi="宋体" w:cs="宋体"/>
          <w:sz w:val="24"/>
          <w:highlight w:val="white"/>
          <w:lang w:eastAsia="zh-CN"/>
        </w:rPr>
        <w:t>（8）对于交易所上市的境内上市开放式基金（LOF），按估值日的份额净值估值；境内上市交易型货币市场基金，如披露份额净值，则按估值日的份额净值估值；如披露万份（百份）收益，则按前一估值日后至估值日期间（含节假日）的万份（百份）收益计提估值日基金收益；以基金份额净值估值的，若与本基金估值频率一致但未公布估值日基金份额净值，按其最近公布的基金份额净值为基础估值。</w:t>
      </w:r>
    </w:p>
    <w:p w:rsidR="00BC44E7" w14:paraId="0B9B41BB" w14:textId="77777777">
      <w:pPr>
        <w:snapToGrid w:val="0"/>
        <w:ind w:firstLine="480"/>
        <w:rPr>
          <w:rFonts w:ascii="宋体" w:hAnsi="宋体" w:cs="宋体"/>
          <w:sz w:val="24"/>
          <w:lang w:eastAsia="zh-CN"/>
        </w:rPr>
      </w:pPr>
      <w:r>
        <w:rPr>
          <w:rFonts w:ascii="宋体" w:hAnsi="宋体" w:cs="宋体"/>
          <w:sz w:val="24"/>
          <w:highlight w:val="white"/>
          <w:lang w:eastAsia="zh-CN"/>
        </w:rPr>
        <w:t>（9）非上市基金的估值：境内非货币市场基金，按估值日的份额净值估值；若与本基金估值频率一致但未公布估值日基金份额净值，按其最近公布的基金份额净值为基础估值。境内货币市场基金，按前一估值日后至估值日期间（含节假日）的万份收益计提估值日基金收益。</w:t>
      </w:r>
    </w:p>
    <w:p w:rsidR="00BC44E7" w14:paraId="5E35664B" w14:textId="77777777">
      <w:pPr>
        <w:snapToGrid w:val="0"/>
        <w:ind w:firstLine="480"/>
        <w:rPr>
          <w:rFonts w:ascii="宋体" w:hAnsi="宋体" w:cs="宋体"/>
          <w:sz w:val="24"/>
          <w:lang w:eastAsia="zh-CN"/>
        </w:rPr>
      </w:pPr>
      <w:r>
        <w:rPr>
          <w:rFonts w:ascii="宋体" w:hAnsi="宋体" w:cs="宋体"/>
          <w:sz w:val="24"/>
          <w:highlight w:val="white"/>
          <w:lang w:eastAsia="zh-CN"/>
        </w:rPr>
        <w:t>（10）本基金投资存托凭证的估值核算，依照境内上市交易的股票执行。</w:t>
      </w:r>
    </w:p>
    <w:p w:rsidR="00BC44E7" w14:paraId="41A23066" w14:textId="77777777">
      <w:pPr>
        <w:snapToGrid w:val="0"/>
        <w:ind w:firstLine="480"/>
        <w:rPr>
          <w:rFonts w:ascii="宋体" w:hAnsi="宋体" w:cs="宋体"/>
          <w:sz w:val="24"/>
          <w:lang w:eastAsia="zh-CN"/>
        </w:rPr>
      </w:pPr>
      <w:r>
        <w:rPr>
          <w:rFonts w:ascii="宋体" w:hAnsi="宋体" w:cs="宋体"/>
          <w:sz w:val="24"/>
          <w:highlight w:val="white"/>
          <w:lang w:eastAsia="zh-CN"/>
        </w:rPr>
        <w:t>（11）汇率</w:t>
      </w:r>
    </w:p>
    <w:p w:rsidR="00BC44E7" w14:paraId="06279B24" w14:textId="77777777">
      <w:pPr>
        <w:snapToGrid w:val="0"/>
        <w:ind w:firstLine="480"/>
        <w:rPr>
          <w:rFonts w:ascii="宋体" w:hAnsi="宋体" w:cs="宋体"/>
          <w:sz w:val="24"/>
          <w:lang w:eastAsia="zh-CN"/>
        </w:rPr>
      </w:pPr>
      <w:r>
        <w:rPr>
          <w:rFonts w:ascii="宋体" w:hAnsi="宋体" w:cs="宋体"/>
          <w:sz w:val="24"/>
          <w:highlight w:val="white"/>
          <w:lang w:eastAsia="zh-CN"/>
        </w:rPr>
        <w:t>如本基金投资股票市场交易互联互通机制允许买卖的境外证券市场上市的股票、ETF，涉及相关货币对人民币汇率的，汇率来源详见招募说明书。</w:t>
      </w:r>
    </w:p>
    <w:p w:rsidR="00BC44E7" w14:paraId="38775EA3" w14:textId="77777777">
      <w:pPr>
        <w:snapToGrid w:val="0"/>
        <w:ind w:firstLine="480"/>
        <w:rPr>
          <w:rFonts w:ascii="宋体" w:hAnsi="宋体" w:cs="宋体"/>
          <w:sz w:val="24"/>
          <w:lang w:eastAsia="zh-CN"/>
        </w:rPr>
      </w:pPr>
      <w:r>
        <w:rPr>
          <w:rFonts w:ascii="宋体" w:hAnsi="宋体" w:cs="宋体"/>
          <w:sz w:val="24"/>
          <w:highlight w:val="white"/>
          <w:lang w:eastAsia="zh-CN"/>
        </w:rPr>
        <w:t>（12）税收</w:t>
      </w:r>
    </w:p>
    <w:p w:rsidR="00BC44E7" w14:paraId="567673A6" w14:textId="77777777">
      <w:pPr>
        <w:snapToGrid w:val="0"/>
        <w:ind w:firstLine="480"/>
        <w:rPr>
          <w:rFonts w:ascii="宋体" w:hAnsi="宋体" w:cs="宋体"/>
          <w:sz w:val="24"/>
          <w:lang w:eastAsia="zh-CN"/>
        </w:rPr>
      </w:pPr>
      <w:r>
        <w:rPr>
          <w:rFonts w:ascii="宋体" w:hAnsi="宋体" w:cs="宋体"/>
          <w:sz w:val="24"/>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BC44E7" w14:paraId="193F7861" w14:textId="77777777">
      <w:pPr>
        <w:snapToGrid w:val="0"/>
        <w:ind w:firstLine="480"/>
        <w:rPr>
          <w:rFonts w:ascii="宋体" w:hAnsi="宋体" w:cs="宋体"/>
          <w:sz w:val="24"/>
          <w:lang w:eastAsia="zh-CN"/>
        </w:rPr>
      </w:pPr>
      <w:r>
        <w:rPr>
          <w:rFonts w:ascii="宋体" w:hAnsi="宋体" w:cs="宋体"/>
          <w:sz w:val="24"/>
          <w:highlight w:val="white"/>
          <w:lang w:eastAsia="zh-CN"/>
        </w:rPr>
        <w:t>（13）如有充分理由表明按上述方法进行估值不能客观反映其公允价值的，基金管理人可根据具体情况与基金托管人商定后，按最能反映公允价值的价格估值。</w:t>
      </w:r>
    </w:p>
    <w:p w:rsidR="00BC44E7" w14:paraId="32F9E93F" w14:textId="77777777">
      <w:pPr>
        <w:snapToGrid w:val="0"/>
        <w:ind w:firstLine="480"/>
        <w:rPr>
          <w:rFonts w:ascii="宋体" w:hAnsi="宋体" w:cs="宋体"/>
          <w:sz w:val="24"/>
          <w:lang w:eastAsia="zh-CN"/>
        </w:rPr>
      </w:pPr>
      <w:r>
        <w:rPr>
          <w:rFonts w:ascii="宋体" w:hAnsi="宋体" w:cs="宋体"/>
          <w:sz w:val="24"/>
          <w:highlight w:val="white"/>
          <w:lang w:eastAsia="zh-CN"/>
        </w:rPr>
        <w:t>（14）当发生大额申购或赎回情形时，基金管理人可以采用摆动定价机制，以确保基金估值的公平性。</w:t>
      </w:r>
    </w:p>
    <w:p w:rsidR="00BC44E7" w14:paraId="3875DEB8" w14:textId="77777777">
      <w:pPr>
        <w:snapToGrid w:val="0"/>
        <w:ind w:firstLine="480"/>
        <w:rPr>
          <w:rFonts w:ascii="宋体" w:hAnsi="宋体" w:cs="宋体"/>
          <w:sz w:val="24"/>
          <w:lang w:eastAsia="zh-CN"/>
        </w:rPr>
      </w:pPr>
      <w:r>
        <w:rPr>
          <w:rFonts w:ascii="宋体" w:hAnsi="宋体" w:cs="宋体"/>
          <w:sz w:val="24"/>
          <w:highlight w:val="white"/>
          <w:lang w:eastAsia="zh-CN"/>
        </w:rPr>
        <w:t>（15）相关法律法规以及监管部门有强制规定的，从其规定。如有新增事项，按国家最新规定估值。</w:t>
      </w:r>
    </w:p>
    <w:p w:rsidR="00BC44E7" w14:paraId="1CEE019A" w14:textId="77777777">
      <w:pPr>
        <w:snapToGrid w:val="0"/>
        <w:ind w:firstLine="480"/>
        <w:rPr>
          <w:rFonts w:ascii="宋体" w:hAnsi="宋体" w:cs="宋体"/>
          <w:sz w:val="24"/>
          <w:lang w:eastAsia="zh-CN"/>
        </w:rPr>
      </w:pPr>
      <w:r>
        <w:rPr>
          <w:rFonts w:ascii="宋体" w:hAnsi="宋体" w:cs="宋体"/>
          <w:sz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BC44E7" w14:paraId="71C032BB" w14:textId="77777777">
      <w:pPr>
        <w:snapToGrid w:val="0"/>
        <w:ind w:firstLine="480"/>
        <w:rPr>
          <w:rFonts w:ascii="宋体" w:hAnsi="宋体" w:cs="宋体"/>
          <w:sz w:val="24"/>
          <w:lang w:eastAsia="zh-CN"/>
        </w:rPr>
      </w:pPr>
      <w:r>
        <w:rPr>
          <w:rFonts w:ascii="宋体" w:hAnsi="宋体" w:cs="宋体"/>
          <w:sz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资产净值的计算结果对外予以公布。</w:t>
      </w:r>
    </w:p>
    <w:p w:rsidR="00BC44E7" w14:paraId="75671C34" w14:textId="77777777">
      <w:pPr>
        <w:snapToGrid w:val="0"/>
        <w:ind w:firstLine="480"/>
        <w:rPr>
          <w:rStyle w:val="read"/>
          <w:rFonts w:ascii="宋体" w:hAnsi="宋体" w:cs="宋体"/>
          <w:lang w:eastAsia="zh-CN"/>
        </w:rPr>
      </w:pPr>
      <w:r>
        <w:rPr>
          <w:rStyle w:val="read"/>
          <w:rFonts w:ascii="宋体" w:hAnsi="宋体" w:cs="宋体" w:hint="eastAsia"/>
          <w:sz w:val="24"/>
          <w:highlight w:val="white"/>
          <w:lang w:eastAsia="zh-CN"/>
        </w:rPr>
        <w:t>3.特殊情形的处理</w:t>
      </w:r>
    </w:p>
    <w:p w:rsidR="00BC44E7" w14:paraId="0FB1E2DE" w14:textId="77777777">
      <w:pPr>
        <w:snapToGrid w:val="0"/>
        <w:ind w:firstLine="480"/>
        <w:rPr>
          <w:rStyle w:val="read"/>
          <w:rFonts w:ascii="宋体" w:hAnsi="宋体" w:cs="宋体"/>
          <w:sz w:val="24"/>
          <w:lang w:eastAsia="zh-CN"/>
        </w:rPr>
      </w:pPr>
      <w:r>
        <w:rPr>
          <w:rStyle w:val="read"/>
          <w:rFonts w:ascii="宋体" w:hAnsi="宋体" w:cs="宋体" w:hint="eastAsia"/>
          <w:sz w:val="24"/>
          <w:highlight w:val="white"/>
          <w:lang w:eastAsia="zh-CN"/>
        </w:rPr>
        <w:t>基金管理人、基金托管人按估值方法的第(13)项进行估值时，所造成的误差不作为基金份额净值错误处理。</w:t>
      </w:r>
    </w:p>
    <w:p w:rsidR="00BC44E7" w14:paraId="36590862" w14:textId="77777777">
      <w:pPr>
        <w:snapToGrid w:val="0"/>
        <w:ind w:firstLine="480"/>
        <w:rPr>
          <w:rStyle w:val="read"/>
          <w:rFonts w:ascii="宋体" w:hAnsi="宋体" w:cs="宋体"/>
          <w:sz w:val="24"/>
          <w:lang w:eastAsia="zh-CN"/>
        </w:rPr>
      </w:pPr>
      <w:r>
        <w:rPr>
          <w:rStyle w:val="read"/>
          <w:rFonts w:ascii="宋体" w:hAnsi="宋体" w:cs="宋体" w:hint="eastAsia"/>
          <w:sz w:val="24"/>
          <w:highlight w:val="white"/>
          <w:lang w:eastAsia="zh-CN"/>
        </w:rPr>
        <w:t>（三）基金份额净值错误的处理方式</w:t>
      </w:r>
    </w:p>
    <w:p w:rsidR="00BC44E7" w14:paraId="10A3781D" w14:textId="77777777">
      <w:pPr>
        <w:snapToGrid w:val="0"/>
        <w:ind w:firstLine="480"/>
        <w:rPr>
          <w:rStyle w:val="read"/>
          <w:rFonts w:ascii="宋体" w:hAnsi="宋体" w:cs="宋体"/>
          <w:sz w:val="24"/>
          <w:lang w:eastAsia="zh-CN"/>
        </w:rPr>
      </w:pPr>
      <w:r>
        <w:rPr>
          <w:rStyle w:val="read"/>
          <w:rFonts w:ascii="宋体" w:hAnsi="宋体" w:cs="宋体" w:hint="eastAsia"/>
          <w:sz w:val="24"/>
          <w:highlight w:val="white"/>
          <w:lang w:eastAsia="zh-CN"/>
        </w:rPr>
        <w:t>1.当任一类基金份额净值小数点后4位以内(含第4位)发生差错时，视为该类基金份额净值错误；基金份额净值出现错误时，基金管理人应当立即予以纠正，通报基金托管人，并采取合理的措施防止</w:t>
      </w:r>
      <w:r>
        <w:rPr>
          <w:rStyle w:val="read"/>
          <w:rFonts w:ascii="宋体" w:hAnsi="宋体" w:cs="宋体"/>
          <w:sz w:val="24"/>
          <w:highlight w:val="white"/>
          <w:lang w:eastAsia="zh-CN"/>
        </w:rPr>
        <w:t>损失进一步扩大；错误偏差达到</w:t>
      </w:r>
      <w:r>
        <w:rPr>
          <w:rStyle w:val="read"/>
          <w:rFonts w:ascii="宋体" w:hAnsi="宋体" w:cs="宋体" w:hint="eastAsia"/>
          <w:sz w:val="24"/>
          <w:highlight w:val="white"/>
          <w:lang w:eastAsia="zh-CN"/>
        </w:rPr>
        <w:t>该类</w:t>
      </w:r>
      <w:r>
        <w:rPr>
          <w:rStyle w:val="read"/>
          <w:rFonts w:ascii="宋体" w:hAnsi="宋体" w:cs="宋体"/>
          <w:sz w:val="24"/>
          <w:highlight w:val="white"/>
          <w:lang w:eastAsia="zh-CN"/>
        </w:rPr>
        <w:t>基金份额净值的0.25%时，基金管理人应当通报基金托管人并报中国证监会备案；错误偏差达到</w:t>
      </w:r>
      <w:r>
        <w:rPr>
          <w:rStyle w:val="read"/>
          <w:rFonts w:ascii="宋体" w:hAnsi="宋体" w:cs="宋体" w:hint="eastAsia"/>
          <w:sz w:val="24"/>
          <w:highlight w:val="white"/>
          <w:lang w:eastAsia="zh-CN"/>
        </w:rPr>
        <w:t>该类</w:t>
      </w:r>
      <w:r>
        <w:rPr>
          <w:rStyle w:val="read"/>
          <w:rFonts w:ascii="宋体" w:hAnsi="宋体" w:cs="宋体"/>
          <w:sz w:val="24"/>
          <w:highlight w:val="white"/>
          <w:lang w:eastAsia="zh-CN"/>
        </w:rPr>
        <w:t>基金份额净值的0.5%时，基金管理人应当公告，并报中国证监会备案</w:t>
      </w:r>
      <w:r>
        <w:rPr>
          <w:rStyle w:val="read"/>
          <w:rFonts w:ascii="宋体" w:hAnsi="宋体" w:cs="宋体" w:hint="eastAsia"/>
          <w:sz w:val="24"/>
          <w:highlight w:val="white"/>
          <w:lang w:eastAsia="zh-CN"/>
        </w:rPr>
        <w:t>；当发生净值计算错误时，由基金管理人负责处理，由此给基金份额持有人和基金造</w:t>
      </w:r>
      <w:r>
        <w:rPr>
          <w:rStyle w:val="read"/>
          <w:rFonts w:ascii="宋体" w:hAnsi="宋体" w:cs="宋体"/>
          <w:sz w:val="24"/>
          <w:highlight w:val="white"/>
          <w:lang w:eastAsia="zh-CN"/>
        </w:rPr>
        <w:t>成损失的，应由基金管理人先行赔付，基金管理人按差错情形，有权向其他当事人追偿。</w:t>
      </w:r>
    </w:p>
    <w:p w:rsidR="00BC44E7" w14:paraId="6A43A236" w14:textId="77777777">
      <w:pPr>
        <w:snapToGrid w:val="0"/>
        <w:ind w:firstLine="480"/>
        <w:rPr>
          <w:rStyle w:val="read"/>
          <w:rFonts w:ascii="宋体" w:hAnsi="宋体" w:cs="宋体"/>
          <w:sz w:val="24"/>
          <w:lang w:eastAsia="zh-CN"/>
        </w:rPr>
      </w:pPr>
      <w:r>
        <w:rPr>
          <w:rStyle w:val="read"/>
          <w:rFonts w:ascii="宋体" w:hAnsi="宋体" w:cs="宋体" w:hint="eastAsia"/>
          <w:sz w:val="24"/>
          <w:highlight w:val="white"/>
          <w:lang w:eastAsia="zh-CN"/>
        </w:rPr>
        <w:t>2.当基金份额净值计算差错给基金和基金份额持有人造成损失需要进行赔偿时，基金管理人和基金托管人应根据实际情况界定双方承担的责任，经确认后按以下条款进行赔偿：</w:t>
      </w:r>
    </w:p>
    <w:p w:rsidR="00BC44E7" w14:paraId="3FB2DBDE" w14:textId="77777777">
      <w:pPr>
        <w:snapToGrid w:val="0"/>
        <w:ind w:firstLine="480"/>
        <w:rPr>
          <w:rFonts w:ascii="宋体" w:hAnsi="宋体" w:cs="宋体"/>
          <w:lang w:eastAsia="zh-CN"/>
        </w:rPr>
      </w:pPr>
      <w:r>
        <w:rPr>
          <w:rStyle w:val="read"/>
          <w:rFonts w:ascii="宋体" w:hAnsi="宋体" w:cs="宋体" w:hint="eastAsia"/>
          <w:sz w:val="24"/>
          <w:highlight w:val="white"/>
          <w:lang w:eastAsia="zh-CN"/>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宋体" w:hAnsi="宋体" w:cs="宋体" w:hint="eastAsia"/>
          <w:sz w:val="24"/>
          <w:highlight w:val="white"/>
          <w:lang w:eastAsia="zh-CN"/>
        </w:rPr>
        <w:t>损失，由基金管理人负责赔付。</w:t>
      </w:r>
    </w:p>
    <w:p w:rsidR="00BC44E7" w14:paraId="4BA99CDA" w14:textId="77777777">
      <w:pPr>
        <w:snapToGrid w:val="0"/>
        <w:ind w:firstLine="480"/>
        <w:rPr>
          <w:rFonts w:ascii="宋体" w:hAnsi="宋体" w:cs="宋体"/>
          <w:sz w:val="24"/>
          <w:lang w:eastAsia="zh-CN"/>
        </w:rPr>
      </w:pPr>
      <w:r>
        <w:rPr>
          <w:rFonts w:ascii="宋体" w:hAnsi="宋体" w:cs="宋体" w:hint="eastAsia"/>
          <w:sz w:val="24"/>
          <w:highlight w:val="white"/>
          <w:lang w:eastAsia="zh-CN"/>
        </w:rPr>
        <w:t>(2)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BC44E7" w14:paraId="44F342CB" w14:textId="77777777">
      <w:pPr>
        <w:snapToGrid w:val="0"/>
        <w:ind w:firstLine="480"/>
        <w:rPr>
          <w:rFonts w:ascii="宋体" w:hAnsi="宋体" w:cs="宋体"/>
          <w:sz w:val="24"/>
          <w:lang w:eastAsia="zh-CN"/>
        </w:rPr>
      </w:pPr>
      <w:r>
        <w:rPr>
          <w:rFonts w:ascii="宋体" w:hAnsi="宋体" w:cs="宋体" w:hint="eastAsia"/>
          <w:sz w:val="24"/>
          <w:highlight w:val="white"/>
          <w:lang w:eastAsia="zh-CN"/>
        </w:rPr>
        <w:t>(3)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rsidR="00BC44E7" w14:paraId="4356394B" w14:textId="77777777">
      <w:pPr>
        <w:snapToGrid w:val="0"/>
        <w:ind w:firstLine="480"/>
        <w:rPr>
          <w:rFonts w:ascii="宋体" w:hAnsi="宋体" w:cs="宋体"/>
          <w:sz w:val="24"/>
          <w:lang w:eastAsia="zh-CN"/>
        </w:rPr>
      </w:pPr>
      <w:r>
        <w:rPr>
          <w:rFonts w:ascii="宋体" w:hAnsi="宋体" w:cs="宋体" w:hint="eastAsia"/>
          <w:sz w:val="24"/>
          <w:highlight w:val="white"/>
          <w:lang w:eastAsia="zh-CN"/>
        </w:rPr>
        <w:t>(4)由于基金管理人提供的信息错误（包括但不限于基金申购或赎回金额等），进而导致基金份额净值计算错误而引起的基金份额持有人和基金财产的损失，由基金管理人负责赔付。</w:t>
      </w:r>
    </w:p>
    <w:p w:rsidR="00BC44E7" w14:paraId="5DE0BA07" w14:textId="77777777">
      <w:pPr>
        <w:snapToGrid w:val="0"/>
        <w:ind w:firstLine="480"/>
        <w:rPr>
          <w:rFonts w:ascii="宋体" w:hAnsi="宋体" w:cs="宋体"/>
          <w:sz w:val="24"/>
          <w:lang w:eastAsia="zh-CN"/>
        </w:rPr>
      </w:pPr>
      <w:r>
        <w:rPr>
          <w:rFonts w:ascii="宋体" w:hAnsi="宋体" w:cs="宋体" w:hint="eastAsia"/>
          <w:sz w:val="24"/>
          <w:highlight w:val="white"/>
          <w:lang w:eastAsia="zh-CN"/>
        </w:rPr>
        <w:t>3.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BC44E7" w14:paraId="114D78D6" w14:textId="77777777">
      <w:pPr>
        <w:snapToGrid w:val="0"/>
        <w:ind w:firstLine="480"/>
        <w:rPr>
          <w:rFonts w:ascii="宋体" w:hAnsi="宋体" w:cs="宋体"/>
          <w:sz w:val="24"/>
          <w:lang w:eastAsia="zh-CN"/>
        </w:rPr>
      </w:pPr>
      <w:r>
        <w:rPr>
          <w:rFonts w:ascii="宋体" w:hAnsi="宋体" w:cs="宋体" w:hint="eastAsia"/>
          <w:sz w:val="24"/>
          <w:highlight w:val="white"/>
          <w:lang w:eastAsia="zh-CN"/>
        </w:rPr>
        <w:t>4.基金管理人和基金托管人由于各自技术系统设置而产生的净值计算尾差，以基金管理人计算结果为准。</w:t>
      </w:r>
    </w:p>
    <w:p w:rsidR="00BC44E7" w14:paraId="6421587F" w14:textId="77777777">
      <w:pPr>
        <w:snapToGrid w:val="0"/>
        <w:ind w:firstLine="480"/>
        <w:rPr>
          <w:rFonts w:ascii="宋体" w:hAnsi="宋体" w:cs="宋体"/>
          <w:sz w:val="24"/>
          <w:lang w:eastAsia="zh-CN"/>
        </w:rPr>
      </w:pPr>
      <w:r>
        <w:rPr>
          <w:rFonts w:ascii="宋体" w:hAnsi="宋体" w:cs="宋体" w:hint="eastAsia"/>
          <w:sz w:val="24"/>
          <w:highlight w:val="white"/>
          <w:lang w:eastAsia="zh-CN"/>
        </w:rPr>
        <w:t>5.前述内容如法律法规或者监管部门另有规定的，从其规定。如果行业另有通行做法，双方当事人应本着平等和保护基金份额持有人利益的原则进行协商。</w:t>
      </w:r>
    </w:p>
    <w:p w:rsidR="00BC44E7" w14:paraId="6E4CE729"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（四）暂停估值与公告基金份额净值的情形</w:t>
      </w:r>
    </w:p>
    <w:p w:rsidR="00BC44E7" w14:paraId="174D06BC" w14:textId="1543C326">
      <w:pPr>
        <w:snapToGrid w:val="0"/>
        <w:ind w:firstLine="480"/>
        <w:outlineLvl w:val="0"/>
        <w:rPr>
          <w:rFonts w:ascii="宋体" w:hAnsi="宋体" w:cs="宋体"/>
          <w:sz w:val="24"/>
          <w:lang w:eastAsia="zh-CN"/>
        </w:rPr>
      </w:pPr>
      <w:r>
        <w:rPr>
          <w:rFonts w:ascii="宋体" w:hAnsi="宋体" w:cs="宋体" w:hint="eastAsia"/>
          <w:sz w:val="24"/>
          <w:highlight w:val="white"/>
          <w:lang w:eastAsia="zh-CN"/>
        </w:rPr>
        <w:t>1</w:t>
      </w:r>
      <w:r w:rsidR="00A74314">
        <w:rPr>
          <w:rFonts w:ascii="宋体" w:hAnsi="宋体" w:cs="宋体" w:hint="eastAsia"/>
          <w:sz w:val="24"/>
          <w:highlight w:val="white"/>
          <w:lang w:eastAsia="zh-CN"/>
        </w:rPr>
        <w:t>.</w:t>
      </w:r>
      <w:r>
        <w:rPr>
          <w:rFonts w:ascii="宋体" w:hAnsi="宋体" w:cs="宋体" w:hint="eastAsia"/>
          <w:sz w:val="24"/>
          <w:highlight w:val="white"/>
          <w:lang w:eastAsia="zh-CN"/>
        </w:rPr>
        <w:t>基金投资所涉及的证券交易市场遇法定节假日或因其他原因暂停营业时；</w:t>
      </w:r>
    </w:p>
    <w:p w:rsidR="00BC44E7" w14:paraId="01081113" w14:textId="3A188C97">
      <w:pPr>
        <w:snapToGrid w:val="0"/>
        <w:ind w:firstLine="480"/>
        <w:outlineLvl w:val="0"/>
        <w:rPr>
          <w:rFonts w:ascii="宋体" w:hAnsi="宋体" w:cs="宋体"/>
          <w:sz w:val="24"/>
          <w:lang w:eastAsia="zh-CN"/>
        </w:rPr>
      </w:pPr>
      <w:r>
        <w:rPr>
          <w:rFonts w:ascii="宋体" w:hAnsi="宋体" w:cs="宋体" w:hint="eastAsia"/>
          <w:sz w:val="24"/>
          <w:highlight w:val="white"/>
          <w:lang w:eastAsia="zh-CN"/>
        </w:rPr>
        <w:t>2</w:t>
      </w:r>
      <w:r w:rsidR="00A74314">
        <w:rPr>
          <w:rFonts w:ascii="宋体" w:hAnsi="宋体" w:cs="宋体" w:hint="eastAsia"/>
          <w:sz w:val="24"/>
          <w:highlight w:val="white"/>
          <w:lang w:eastAsia="zh-CN"/>
        </w:rPr>
        <w:t>.</w:t>
      </w:r>
      <w:r>
        <w:rPr>
          <w:rFonts w:ascii="宋体" w:hAnsi="宋体" w:cs="宋体" w:hint="eastAsia"/>
          <w:sz w:val="24"/>
          <w:highlight w:val="white"/>
          <w:lang w:eastAsia="zh-CN"/>
        </w:rPr>
        <w:t>因不可抗力致使基金管理人、基金托管人无法准确评估基金资产价值时；</w:t>
      </w:r>
    </w:p>
    <w:p w:rsidR="00BC44E7" w14:paraId="2D83B0EA" w14:textId="54B0EB32">
      <w:pPr>
        <w:snapToGrid w:val="0"/>
        <w:ind w:firstLine="480"/>
        <w:outlineLvl w:val="0"/>
        <w:rPr>
          <w:rFonts w:ascii="宋体" w:hAnsi="宋体" w:cs="宋体"/>
          <w:sz w:val="24"/>
          <w:lang w:eastAsia="zh-CN"/>
        </w:rPr>
      </w:pPr>
      <w:r>
        <w:rPr>
          <w:rFonts w:ascii="宋体" w:hAnsi="宋体" w:cs="宋体" w:hint="eastAsia"/>
          <w:sz w:val="24"/>
          <w:highlight w:val="white"/>
          <w:lang w:eastAsia="zh-CN"/>
        </w:rPr>
        <w:t>3</w:t>
      </w:r>
      <w:r w:rsidR="00A74314">
        <w:rPr>
          <w:rFonts w:ascii="宋体" w:hAnsi="宋体" w:cs="宋体" w:hint="eastAsia"/>
          <w:sz w:val="24"/>
          <w:highlight w:val="white"/>
          <w:lang w:eastAsia="zh-CN"/>
        </w:rPr>
        <w:t>.</w:t>
      </w:r>
      <w:r>
        <w:rPr>
          <w:rFonts w:ascii="宋体" w:hAnsi="宋体" w:cs="宋体" w:hint="eastAsia"/>
          <w:sz w:val="24"/>
          <w:highlight w:val="white"/>
          <w:lang w:eastAsia="zh-CN"/>
        </w:rPr>
        <w:t>占相当比例的被投资基金暂停估值；</w:t>
      </w:r>
    </w:p>
    <w:p w:rsidR="00BC44E7" w14:paraId="3026BE87" w14:textId="40E3B57D">
      <w:pPr>
        <w:snapToGrid w:val="0"/>
        <w:ind w:firstLine="480"/>
        <w:outlineLvl w:val="0"/>
        <w:rPr>
          <w:rFonts w:ascii="宋体" w:hAnsi="宋体" w:cs="宋体"/>
          <w:sz w:val="24"/>
          <w:lang w:eastAsia="zh-CN"/>
        </w:rPr>
      </w:pPr>
      <w:r>
        <w:rPr>
          <w:rFonts w:ascii="宋体" w:hAnsi="宋体" w:cs="宋体" w:hint="eastAsia"/>
          <w:sz w:val="24"/>
          <w:highlight w:val="white"/>
          <w:lang w:eastAsia="zh-CN"/>
        </w:rPr>
        <w:t>4</w:t>
      </w:r>
      <w:r w:rsidR="00A74314">
        <w:rPr>
          <w:rFonts w:ascii="宋体" w:hAnsi="宋体" w:cs="宋体" w:hint="eastAsia"/>
          <w:sz w:val="24"/>
          <w:highlight w:val="white"/>
          <w:lang w:eastAsia="zh-CN"/>
        </w:rPr>
        <w:t>.</w:t>
      </w:r>
      <w:r>
        <w:rPr>
          <w:rFonts w:ascii="宋体" w:hAnsi="宋体" w:cs="宋体" w:hint="eastAsia"/>
          <w:sz w:val="24"/>
          <w:highlight w:val="white"/>
          <w:lang w:eastAsia="zh-CN"/>
        </w:rPr>
        <w:t>当特定资产占前一估值日基金资产净值50%以上的，经与基金托管人协商确认后，基金管理人应当暂停估值；</w:t>
      </w:r>
    </w:p>
    <w:p w:rsidR="00BC44E7" w14:paraId="596804E4" w14:textId="3CAA0A51">
      <w:pPr>
        <w:snapToGrid w:val="0"/>
        <w:ind w:firstLine="480"/>
        <w:outlineLvl w:val="0"/>
        <w:rPr>
          <w:rFonts w:ascii="宋体" w:hAnsi="宋体" w:cs="宋体"/>
          <w:sz w:val="24"/>
          <w:lang w:eastAsia="zh-CN"/>
        </w:rPr>
      </w:pPr>
      <w:r>
        <w:rPr>
          <w:rFonts w:ascii="宋体" w:hAnsi="宋体" w:cs="宋体" w:hint="eastAsia"/>
          <w:sz w:val="24"/>
          <w:highlight w:val="white"/>
          <w:lang w:eastAsia="zh-CN"/>
        </w:rPr>
        <w:t>5</w:t>
      </w:r>
      <w:r w:rsidR="00A74314">
        <w:rPr>
          <w:rFonts w:ascii="宋体" w:hAnsi="宋体" w:cs="宋体" w:hint="eastAsia"/>
          <w:sz w:val="24"/>
          <w:highlight w:val="white"/>
          <w:lang w:eastAsia="zh-CN"/>
        </w:rPr>
        <w:t>.</w:t>
      </w:r>
      <w:r>
        <w:rPr>
          <w:rFonts w:ascii="宋体" w:hAnsi="宋体" w:cs="宋体" w:hint="eastAsia"/>
          <w:sz w:val="24"/>
          <w:highlight w:val="white"/>
          <w:lang w:eastAsia="zh-CN"/>
        </w:rPr>
        <w:t>中国证监会和基金合同认定的其它情形。</w:t>
      </w:r>
    </w:p>
    <w:p w:rsidR="00BC44E7" w14:paraId="069077BC"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（五）基金会计制度</w:t>
      </w:r>
    </w:p>
    <w:p w:rsidR="00BC44E7" w14:paraId="6F4E1B72" w14:textId="77777777">
      <w:pPr>
        <w:snapToGrid w:val="0"/>
        <w:ind w:firstLine="480"/>
        <w:rPr>
          <w:rFonts w:ascii="宋体" w:hAnsi="宋体" w:cs="宋体"/>
          <w:sz w:val="24"/>
          <w:lang w:eastAsia="zh-CN"/>
        </w:rPr>
      </w:pPr>
      <w:r>
        <w:rPr>
          <w:rFonts w:ascii="宋体" w:hAnsi="宋体" w:cs="宋体" w:hint="eastAsia"/>
          <w:sz w:val="24"/>
          <w:highlight w:val="white"/>
          <w:lang w:eastAsia="zh-CN"/>
        </w:rPr>
        <w:t>按国家有关部门规定的会计制度执行。</w:t>
      </w:r>
    </w:p>
    <w:p w:rsidR="00BC44E7" w14:paraId="227FCE71"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（六）基金账册的建立</w:t>
      </w:r>
    </w:p>
    <w:p w:rsidR="00BC44E7" w14:paraId="1C1F796E" w14:textId="77777777">
      <w:pPr>
        <w:snapToGrid w:val="0"/>
        <w:ind w:firstLine="480"/>
        <w:rPr>
          <w:rFonts w:ascii="宋体" w:hAnsi="宋体" w:cs="宋体"/>
          <w:sz w:val="24"/>
          <w:lang w:eastAsia="zh-CN"/>
        </w:rPr>
      </w:pPr>
      <w:r>
        <w:rPr>
          <w:rFonts w:ascii="宋体" w:hAnsi="宋体" w:cs="宋体" w:hint="eastAsia"/>
          <w:sz w:val="24"/>
          <w:highlight w:val="white"/>
          <w:lang w:eastAsia="zh-CN"/>
        </w:rPr>
        <w:t>基金管理人进行基金会计核算并编制基金财务会计报告。基金管理人和基金托管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rsidR="00BC44E7" w14:paraId="7E822329"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（七）基金财务报表与报告的编制和复核</w:t>
      </w:r>
    </w:p>
    <w:p w:rsidR="00BC44E7" w14:paraId="618BD08E" w14:textId="77777777">
      <w:pPr>
        <w:snapToGrid w:val="0"/>
        <w:ind w:firstLine="480"/>
        <w:rPr>
          <w:rFonts w:ascii="宋体" w:hAnsi="宋体" w:cs="宋体"/>
          <w:sz w:val="24"/>
          <w:lang w:eastAsia="zh-CN"/>
        </w:rPr>
      </w:pPr>
      <w:r>
        <w:rPr>
          <w:rFonts w:ascii="宋体" w:hAnsi="宋体" w:cs="宋体" w:hint="eastAsia"/>
          <w:sz w:val="24"/>
          <w:highlight w:val="white"/>
          <w:lang w:eastAsia="zh-CN"/>
        </w:rPr>
        <w:t>1.财务报表的编制</w:t>
      </w:r>
    </w:p>
    <w:p w:rsidR="00BC44E7" w14:paraId="4BCCD0BF" w14:textId="77777777">
      <w:pPr>
        <w:snapToGrid w:val="0"/>
        <w:ind w:firstLine="480"/>
        <w:rPr>
          <w:rFonts w:ascii="宋体" w:hAnsi="宋体" w:cs="宋体"/>
          <w:sz w:val="24"/>
          <w:lang w:eastAsia="zh-CN"/>
        </w:rPr>
      </w:pPr>
      <w:r>
        <w:rPr>
          <w:rFonts w:ascii="宋体" w:hAnsi="宋体" w:cs="宋体" w:hint="eastAsia"/>
          <w:sz w:val="24"/>
          <w:highlight w:val="white"/>
          <w:lang w:eastAsia="zh-CN"/>
        </w:rPr>
        <w:t>基金财务报表由基金管理人编制，基金托管人复核。</w:t>
      </w:r>
    </w:p>
    <w:p w:rsidR="00BC44E7" w14:paraId="0B70FE37" w14:textId="77777777">
      <w:pPr>
        <w:snapToGrid w:val="0"/>
        <w:ind w:firstLine="480"/>
        <w:rPr>
          <w:rFonts w:ascii="宋体" w:hAnsi="宋体" w:cs="宋体"/>
          <w:sz w:val="24"/>
          <w:lang w:eastAsia="zh-CN"/>
        </w:rPr>
      </w:pPr>
      <w:r>
        <w:rPr>
          <w:rFonts w:ascii="宋体" w:hAnsi="宋体" w:cs="宋体" w:hint="eastAsia"/>
          <w:sz w:val="24"/>
          <w:highlight w:val="white"/>
          <w:lang w:eastAsia="zh-CN"/>
        </w:rPr>
        <w:t>2.报表复核</w:t>
      </w:r>
    </w:p>
    <w:p w:rsidR="00BC44E7" w14:paraId="08D53AC2" w14:textId="77777777">
      <w:pPr>
        <w:snapToGrid w:val="0"/>
        <w:ind w:firstLine="480"/>
        <w:rPr>
          <w:rFonts w:ascii="宋体" w:hAnsi="宋体" w:cs="宋体"/>
          <w:sz w:val="24"/>
          <w:lang w:eastAsia="zh-CN"/>
        </w:rPr>
      </w:pPr>
      <w:r>
        <w:rPr>
          <w:rFonts w:ascii="宋体" w:hAnsi="宋体" w:cs="宋体" w:hint="eastAsia"/>
          <w:sz w:val="24"/>
          <w:highlight w:val="white"/>
          <w:lang w:eastAsia="zh-CN"/>
        </w:rPr>
        <w:t>基金托管人在收到基金管理人编制的基金财务报表后，进行独立的复核。核对不符时，应及时通知基金管理人共同查出原因，进行调整，直至双方数据完全一致。</w:t>
      </w:r>
    </w:p>
    <w:p w:rsidR="00BC44E7" w14:paraId="773BCF7B" w14:textId="77777777">
      <w:pPr>
        <w:snapToGrid w:val="0"/>
        <w:ind w:firstLine="480"/>
        <w:rPr>
          <w:rFonts w:ascii="宋体" w:hAnsi="宋体" w:cs="宋体"/>
          <w:sz w:val="24"/>
          <w:lang w:eastAsia="zh-CN"/>
        </w:rPr>
      </w:pPr>
      <w:r>
        <w:rPr>
          <w:rFonts w:ascii="宋体" w:hAnsi="宋体" w:cs="宋体" w:hint="eastAsia"/>
          <w:sz w:val="24"/>
          <w:highlight w:val="white"/>
          <w:lang w:eastAsia="zh-CN"/>
        </w:rPr>
        <w:t>3.财务报表的编制与复核时间安排</w:t>
      </w:r>
    </w:p>
    <w:p w:rsidR="00BC44E7" w14:paraId="4C93ABED" w14:textId="77777777">
      <w:pPr>
        <w:snapToGrid w:val="0"/>
        <w:ind w:firstLine="480"/>
        <w:rPr>
          <w:rFonts w:ascii="宋体" w:hAnsi="宋体" w:cs="宋体"/>
          <w:sz w:val="24"/>
          <w:lang w:eastAsia="zh-CN"/>
        </w:rPr>
      </w:pPr>
      <w:r>
        <w:rPr>
          <w:rFonts w:ascii="宋体" w:hAnsi="宋体" w:cs="宋体" w:hint="eastAsia"/>
          <w:sz w:val="24"/>
          <w:highlight w:val="white"/>
          <w:lang w:eastAsia="zh-CN"/>
        </w:rPr>
        <w:t>(1)报表的编制</w:t>
      </w:r>
    </w:p>
    <w:p w:rsidR="00BC44E7" w14:paraId="583781E1" w14:textId="77777777">
      <w:pPr>
        <w:snapToGrid w:val="0"/>
        <w:ind w:firstLine="480"/>
        <w:rPr>
          <w:rFonts w:ascii="宋体" w:hAnsi="宋体" w:cs="宋体"/>
          <w:sz w:val="24"/>
          <w:lang w:eastAsia="zh-CN"/>
        </w:rPr>
      </w:pPr>
      <w:r>
        <w:rPr>
          <w:rFonts w:ascii="宋体" w:hAnsi="宋体" w:cs="宋体" w:hint="eastAsia"/>
          <w:sz w:val="24"/>
          <w:highlight w:val="white"/>
          <w:lang w:eastAsia="zh-CN"/>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证券法》规定的会计师事务所审计。《基金合同》生效不足两个月的，基金管理人可以不编制当期季度报告、中期报告或者年度报告。</w:t>
      </w:r>
    </w:p>
    <w:p w:rsidR="00BC44E7" w14:paraId="647E8C52" w14:textId="77777777">
      <w:pPr>
        <w:pStyle w:val="NormalIndent"/>
        <w:snapToGrid w:val="0"/>
        <w:ind w:firstLine="480"/>
        <w:rPr>
          <w:rFonts w:ascii="宋体" w:hAnsi="宋体" w:cs="宋体"/>
          <w:sz w:val="24"/>
          <w:lang w:eastAsia="zh-CN"/>
        </w:rPr>
      </w:pPr>
      <w:r>
        <w:rPr>
          <w:rFonts w:ascii="宋体" w:hAnsi="宋体" w:cs="宋体" w:hint="eastAsia"/>
          <w:sz w:val="24"/>
          <w:highlight w:val="white"/>
          <w:lang w:eastAsia="zh-CN"/>
        </w:rPr>
        <w:t>(2)报表的复核</w:t>
      </w:r>
    </w:p>
    <w:p w:rsidR="00BC44E7" w14:paraId="65DA2218" w14:textId="77777777">
      <w:pPr>
        <w:pStyle w:val="NormalIndent"/>
        <w:snapToGrid w:val="0"/>
        <w:ind w:firstLine="480"/>
        <w:rPr>
          <w:rFonts w:ascii="宋体" w:hAnsi="宋体" w:cs="宋体"/>
          <w:sz w:val="24"/>
          <w:lang w:eastAsia="zh-CN"/>
        </w:rPr>
      </w:pPr>
      <w:r>
        <w:rPr>
          <w:rFonts w:ascii="宋体" w:hAnsi="宋体" w:cs="宋体" w:hint="eastAsia"/>
          <w:sz w:val="24"/>
          <w:highlight w:val="white"/>
          <w:lang w:eastAsia="zh-CN"/>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BC44E7" w14:paraId="7C5AD9AB" w14:textId="77777777">
      <w:pPr>
        <w:pStyle w:val="NormalIndent"/>
        <w:snapToGrid w:val="0"/>
        <w:ind w:firstLine="480"/>
        <w:rPr>
          <w:rFonts w:ascii="宋体" w:hAnsi="宋体" w:cs="宋体"/>
          <w:sz w:val="24"/>
          <w:lang w:eastAsia="zh-CN"/>
        </w:rPr>
      </w:pPr>
      <w:r>
        <w:rPr>
          <w:rFonts w:ascii="宋体" w:hAnsi="宋体" w:cs="宋体" w:hint="eastAsia"/>
          <w:sz w:val="24"/>
          <w:highlight w:val="white"/>
          <w:lang w:eastAsia="zh-CN"/>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rsidR="00BC44E7" w14:paraId="445D64FD" w14:textId="77777777">
      <w:pPr>
        <w:pStyle w:val="NormalIndent"/>
        <w:snapToGrid w:val="0"/>
        <w:ind w:firstLine="480"/>
        <w:rPr>
          <w:rFonts w:ascii="宋体" w:hAnsi="宋体" w:cs="宋体"/>
          <w:sz w:val="24"/>
          <w:lang w:eastAsia="zh-CN"/>
        </w:rPr>
      </w:pPr>
      <w:r>
        <w:rPr>
          <w:rFonts w:ascii="宋体" w:hAnsi="宋体" w:cs="宋体" w:hint="eastAsia"/>
          <w:sz w:val="24"/>
          <w:highlight w:val="white"/>
          <w:lang w:eastAsia="zh-CN"/>
        </w:rPr>
        <w:t>（八）基金管理人应在编制季度报告、中期报告或者年度报告之前及时向基金托管人提供基金业绩比较基准的基础数据和编制结果。</w:t>
      </w:r>
    </w:p>
    <w:p w:rsidR="00BC44E7" w14:paraId="4DF81F17" w14:textId="77777777">
      <w:pPr>
        <w:pStyle w:val="NormalIndent"/>
        <w:snapToGrid w:val="0"/>
        <w:ind w:firstLine="480"/>
        <w:rPr>
          <w:rFonts w:ascii="宋体" w:hAnsi="宋体" w:cs="宋体"/>
          <w:sz w:val="24"/>
          <w:lang w:eastAsia="zh-CN"/>
        </w:rPr>
      </w:pPr>
      <w:r>
        <w:rPr>
          <w:rFonts w:ascii="宋体" w:hAnsi="宋体" w:cs="宋体" w:hint="eastAsia"/>
          <w:sz w:val="24"/>
          <w:highlight w:val="white"/>
          <w:lang w:eastAsia="zh-CN"/>
        </w:rPr>
        <w:t>（九）实施侧袋机制期间的基金资产估值</w:t>
      </w:r>
    </w:p>
    <w:p w:rsidR="00BC44E7" w14:paraId="42CDA5C0" w14:textId="77777777">
      <w:pPr>
        <w:pStyle w:val="NormalIndent"/>
        <w:snapToGrid w:val="0"/>
        <w:ind w:firstLine="480"/>
        <w:rPr>
          <w:rFonts w:ascii="宋体" w:hAnsi="宋体" w:cs="宋体"/>
          <w:sz w:val="24"/>
          <w:lang w:eastAsia="zh-CN"/>
        </w:rPr>
      </w:pPr>
      <w:r>
        <w:rPr>
          <w:rFonts w:ascii="宋体" w:hAnsi="宋体" w:cs="宋体" w:hint="eastAsia"/>
          <w:sz w:val="24"/>
          <w:highlight w:val="white"/>
          <w:lang w:eastAsia="zh-CN"/>
        </w:rPr>
        <w:t>本基金实施侧袋机制的，应根据本部分的约定对主袋账户资产进行估值并披露主袋账户的基金资产净值和份额净值，暂停披露侧袋账户份额净值。</w:t>
      </w:r>
    </w:p>
    <w:p w:rsidR="00BC44E7" w14:paraId="665C7BE8" w14:textId="77777777">
      <w:pPr>
        <w:pStyle w:val="NormalIndent"/>
        <w:snapToGrid w:val="0"/>
        <w:ind w:firstLine="480"/>
        <w:rPr>
          <w:rFonts w:ascii="宋体" w:hAnsi="宋体" w:cs="宋体"/>
          <w:sz w:val="24"/>
          <w:lang w:eastAsia="zh-CN"/>
        </w:rPr>
      </w:pPr>
      <w:r>
        <w:rPr>
          <w:rFonts w:ascii="宋体" w:hAnsi="宋体" w:cs="宋体"/>
          <w:sz w:val="24"/>
          <w:highlight w:val="white"/>
          <w:lang w:eastAsia="zh-CN"/>
        </w:rPr>
        <w:tab/>
      </w:r>
    </w:p>
    <w:p w:rsidR="00BC44E7" w14:paraId="050A663A" w14:textId="77777777">
      <w:pPr>
        <w:pStyle w:val="21"/>
        <w:jc w:val="center"/>
        <w:rPr>
          <w:rFonts w:ascii="宋体" w:eastAsia="宋体" w:hAnsi="宋体" w:cs="宋体"/>
          <w:sz w:val="30"/>
          <w:lang w:eastAsia="zh-CN"/>
        </w:rPr>
      </w:pPr>
      <w:bookmarkStart w:id="87" w:name="_Toc68875911"/>
      <w:r>
        <w:rPr>
          <w:rFonts w:ascii="宋体" w:eastAsia="宋体" w:hAnsi="宋体" w:cs="宋体" w:hint="eastAsia"/>
          <w:sz w:val="30"/>
          <w:highlight w:val="white"/>
          <w:lang w:eastAsia="zh-CN"/>
        </w:rPr>
        <w:t>九、基金收益分配</w:t>
      </w:r>
      <w:bookmarkEnd w:id="87"/>
    </w:p>
    <w:p w:rsidR="00BC44E7" w14:paraId="7B00649B"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（一）基金收益分配的原则</w:t>
      </w:r>
    </w:p>
    <w:p w:rsidR="00BC44E7" w14:paraId="59208E96"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基金收益分配应遵循下列原则：</w:t>
      </w:r>
    </w:p>
    <w:p w:rsidR="00BC44E7" w14:paraId="510AE922" w14:textId="3CA978C8">
      <w:pPr>
        <w:snapToGrid w:val="0"/>
        <w:ind w:firstLine="480"/>
        <w:outlineLvl w:val="0"/>
        <w:rPr>
          <w:rFonts w:ascii="宋体" w:hAnsi="宋体" w:cs="宋体"/>
          <w:sz w:val="24"/>
          <w:lang w:eastAsia="zh-CN"/>
        </w:rPr>
      </w:pPr>
      <w:r>
        <w:rPr>
          <w:rFonts w:ascii="宋体" w:hAnsi="宋体" w:cs="宋体" w:hint="eastAsia"/>
          <w:sz w:val="24"/>
          <w:highlight w:val="white"/>
          <w:lang w:eastAsia="zh-CN"/>
        </w:rPr>
        <w:t>1</w:t>
      </w:r>
      <w:r w:rsidR="00A74314">
        <w:rPr>
          <w:rFonts w:ascii="宋体" w:hAnsi="宋体" w:cs="宋体" w:hint="eastAsia"/>
          <w:sz w:val="24"/>
          <w:highlight w:val="white"/>
          <w:lang w:eastAsia="zh-CN"/>
        </w:rPr>
        <w:t>.</w:t>
      </w:r>
      <w:r>
        <w:rPr>
          <w:rFonts w:ascii="宋体" w:hAnsi="宋体" w:cs="宋体" w:hint="eastAsia"/>
          <w:sz w:val="24"/>
          <w:highlight w:val="white"/>
          <w:lang w:eastAsia="zh-CN"/>
        </w:rPr>
        <w:t>在符合有关基金分红条件的前提下，基金管理人可以根据实际情况进行收益分配，具体分配方案以公告为准，若《基金合同》生效不满3个月可不进行收益分配；</w:t>
      </w:r>
    </w:p>
    <w:p w:rsidR="00BC44E7" w14:paraId="2A9E929F" w14:textId="62B43631">
      <w:pPr>
        <w:snapToGrid w:val="0"/>
        <w:ind w:firstLine="480"/>
        <w:outlineLvl w:val="0"/>
        <w:rPr>
          <w:rFonts w:ascii="宋体" w:hAnsi="宋体" w:cs="宋体"/>
          <w:sz w:val="24"/>
          <w:lang w:eastAsia="zh-CN"/>
        </w:rPr>
      </w:pPr>
      <w:r>
        <w:rPr>
          <w:rFonts w:ascii="宋体" w:hAnsi="宋体" w:cs="宋体" w:hint="eastAsia"/>
          <w:sz w:val="24"/>
          <w:highlight w:val="white"/>
          <w:lang w:eastAsia="zh-CN"/>
        </w:rPr>
        <w:t>2</w:t>
      </w:r>
      <w:r w:rsidR="00A74314">
        <w:rPr>
          <w:rFonts w:ascii="宋体" w:hAnsi="宋体" w:cs="宋体" w:hint="eastAsia"/>
          <w:sz w:val="24"/>
          <w:highlight w:val="white"/>
          <w:lang w:eastAsia="zh-CN"/>
        </w:rPr>
        <w:t>.</w:t>
      </w:r>
      <w:r>
        <w:rPr>
          <w:rFonts w:ascii="宋体" w:hAnsi="宋体" w:cs="宋体" w:hint="eastAsia"/>
          <w:sz w:val="24"/>
          <w:highlight w:val="white"/>
          <w:lang w:eastAsia="zh-CN"/>
        </w:rPr>
        <w:t>本基金收益分配方式分两种：现金分红与红利再投资，投资者可选择现金红利或将现金红利自动转为对应类别的基金份额进行再投资；若投资者不选择，本基金默认的收益分配方式是现金分红；</w:t>
      </w:r>
    </w:p>
    <w:p w:rsidR="00BC44E7" w14:paraId="206BAC5D" w14:textId="7CE4D6F1">
      <w:pPr>
        <w:snapToGrid w:val="0"/>
        <w:ind w:firstLine="480"/>
        <w:outlineLvl w:val="0"/>
        <w:rPr>
          <w:rFonts w:ascii="宋体" w:hAnsi="宋体" w:cs="宋体"/>
          <w:sz w:val="24"/>
          <w:lang w:eastAsia="zh-CN"/>
        </w:rPr>
      </w:pPr>
      <w:r>
        <w:rPr>
          <w:rFonts w:ascii="宋体" w:hAnsi="宋体" w:cs="宋体" w:hint="eastAsia"/>
          <w:sz w:val="24"/>
          <w:highlight w:val="white"/>
          <w:lang w:eastAsia="zh-CN"/>
        </w:rPr>
        <w:t>3</w:t>
      </w:r>
      <w:r w:rsidR="00A74314">
        <w:rPr>
          <w:rFonts w:ascii="宋体" w:hAnsi="宋体" w:cs="宋体" w:hint="eastAsia"/>
          <w:sz w:val="24"/>
          <w:highlight w:val="white"/>
          <w:lang w:eastAsia="zh-CN"/>
        </w:rPr>
        <w:t>.</w:t>
      </w:r>
      <w:r>
        <w:rPr>
          <w:rFonts w:ascii="宋体" w:hAnsi="宋体" w:cs="宋体" w:hint="eastAsia"/>
          <w:sz w:val="24"/>
          <w:highlight w:val="white"/>
          <w:lang w:eastAsia="zh-CN"/>
        </w:rPr>
        <w:t>基金收益分配后各类基金份额净值不能低于面值；即基金收益分配基准日的各类基金份额净值减去每单位该类基金份额收益分配金额后不能低于面值；</w:t>
      </w:r>
    </w:p>
    <w:p w:rsidR="00BC44E7" w14:paraId="5DC03404" w14:textId="6D0A3F8C">
      <w:pPr>
        <w:snapToGrid w:val="0"/>
        <w:ind w:firstLine="480"/>
        <w:outlineLvl w:val="0"/>
        <w:rPr>
          <w:rFonts w:ascii="宋体" w:hAnsi="宋体" w:cs="宋体"/>
          <w:sz w:val="24"/>
          <w:lang w:eastAsia="zh-CN"/>
        </w:rPr>
      </w:pPr>
      <w:r>
        <w:rPr>
          <w:rFonts w:ascii="宋体" w:hAnsi="宋体" w:cs="宋体" w:hint="eastAsia"/>
          <w:sz w:val="24"/>
          <w:highlight w:val="white"/>
          <w:lang w:eastAsia="zh-CN"/>
        </w:rPr>
        <w:t>4</w:t>
      </w:r>
      <w:r w:rsidR="00A74314">
        <w:rPr>
          <w:rFonts w:ascii="宋体" w:hAnsi="宋体" w:cs="宋体" w:hint="eastAsia"/>
          <w:sz w:val="24"/>
          <w:highlight w:val="white"/>
          <w:lang w:eastAsia="zh-CN"/>
        </w:rPr>
        <w:t>.</w:t>
      </w:r>
      <w:r>
        <w:rPr>
          <w:rFonts w:ascii="宋体" w:hAnsi="宋体" w:cs="宋体" w:hint="eastAsia"/>
          <w:sz w:val="24"/>
          <w:highlight w:val="white"/>
          <w:lang w:eastAsia="zh-CN"/>
        </w:rPr>
        <w:t>本基金各基金份额类别在费用收取上不同，其对应的可分配收益可能有所不同。同一类别的每一基金份额享有同等分配权；</w:t>
      </w:r>
    </w:p>
    <w:p w:rsidR="00040D4C" w14:paraId="7D4AEF19" w14:textId="515893F1">
      <w:pPr>
        <w:snapToGrid w:val="0"/>
        <w:ind w:firstLine="480"/>
        <w:outlineLvl w:val="0"/>
        <w:rPr>
          <w:rFonts w:ascii="宋体" w:hAnsi="宋体" w:cs="宋体"/>
          <w:sz w:val="24"/>
          <w:lang w:eastAsia="zh-CN"/>
        </w:rPr>
      </w:pPr>
      <w:r w:rsidRPr="00040D4C">
        <w:rPr>
          <w:rFonts w:ascii="宋体" w:hAnsi="宋体" w:cs="宋体" w:hint="eastAsia"/>
          <w:sz w:val="24"/>
          <w:lang w:eastAsia="zh-CN"/>
        </w:rPr>
        <w:t>5</w:t>
      </w:r>
      <w:r w:rsidR="00A74314">
        <w:rPr>
          <w:rFonts w:ascii="宋体" w:hAnsi="宋体" w:cs="宋体" w:hint="eastAsia"/>
          <w:sz w:val="24"/>
          <w:lang w:eastAsia="zh-CN"/>
        </w:rPr>
        <w:t>.</w:t>
      </w:r>
      <w:r w:rsidRPr="00040D4C">
        <w:rPr>
          <w:rFonts w:ascii="宋体" w:hAnsi="宋体" w:cs="宋体" w:hint="eastAsia"/>
          <w:sz w:val="24"/>
          <w:lang w:eastAsia="zh-CN"/>
        </w:rPr>
        <w:t>对于收益分配方式为红利再投资的基金份额，每份基金份额（原份额）所获得的红利再投资份额的持有期限，按该原份额的持有期限计算；</w:t>
      </w:r>
    </w:p>
    <w:p w:rsidR="00BC44E7" w14:paraId="31985B31" w14:textId="2BD366B9">
      <w:pPr>
        <w:snapToGrid w:val="0"/>
        <w:ind w:firstLine="480"/>
        <w:outlineLvl w:val="0"/>
        <w:rPr>
          <w:rFonts w:ascii="宋体" w:hAnsi="宋体" w:cs="宋体"/>
          <w:sz w:val="24"/>
          <w:lang w:eastAsia="zh-CN"/>
        </w:rPr>
      </w:pPr>
      <w:r>
        <w:rPr>
          <w:rFonts w:ascii="宋体" w:hAnsi="宋体" w:cs="宋体"/>
          <w:sz w:val="24"/>
          <w:highlight w:val="white"/>
          <w:lang w:eastAsia="zh-CN"/>
        </w:rPr>
        <w:t>6</w:t>
      </w:r>
      <w:r w:rsidR="00A74314">
        <w:rPr>
          <w:rFonts w:ascii="宋体" w:hAnsi="宋体" w:cs="宋体" w:hint="eastAsia"/>
          <w:sz w:val="24"/>
          <w:highlight w:val="white"/>
          <w:lang w:eastAsia="zh-CN"/>
        </w:rPr>
        <w:t>.</w:t>
      </w:r>
      <w:r>
        <w:rPr>
          <w:rFonts w:ascii="宋体" w:hAnsi="宋体" w:cs="宋体" w:hint="eastAsia"/>
          <w:sz w:val="24"/>
          <w:highlight w:val="white"/>
          <w:lang w:eastAsia="zh-CN"/>
        </w:rPr>
        <w:t>在对基金份额持有人利益无实质不利影响的前提下，基金管理人经与基金托管人协商一致并履行适当程序后可调整基金收益的分配原则和支付方式；</w:t>
      </w:r>
    </w:p>
    <w:p w:rsidR="00BC44E7" w14:paraId="3CEF2332" w14:textId="59F53583">
      <w:pPr>
        <w:snapToGrid w:val="0"/>
        <w:ind w:firstLine="480"/>
        <w:outlineLvl w:val="0"/>
        <w:rPr>
          <w:rFonts w:ascii="宋体" w:hAnsi="宋体" w:cs="宋体"/>
          <w:sz w:val="24"/>
          <w:lang w:eastAsia="zh-CN"/>
        </w:rPr>
      </w:pPr>
      <w:r>
        <w:rPr>
          <w:rFonts w:ascii="宋体" w:hAnsi="宋体" w:cs="宋体"/>
          <w:sz w:val="24"/>
          <w:highlight w:val="white"/>
          <w:lang w:eastAsia="zh-CN"/>
        </w:rPr>
        <w:t>7</w:t>
      </w:r>
      <w:r w:rsidR="00A74314">
        <w:rPr>
          <w:rFonts w:ascii="宋体" w:hAnsi="宋体" w:cs="宋体" w:hint="eastAsia"/>
          <w:sz w:val="24"/>
          <w:highlight w:val="white"/>
          <w:lang w:eastAsia="zh-CN"/>
        </w:rPr>
        <w:t>.</w:t>
      </w:r>
      <w:r>
        <w:rPr>
          <w:rFonts w:ascii="宋体" w:hAnsi="宋体" w:cs="宋体" w:hint="eastAsia"/>
          <w:sz w:val="24"/>
          <w:highlight w:val="white"/>
          <w:lang w:eastAsia="zh-CN"/>
        </w:rPr>
        <w:t>法律法规或监管机关另有规定的，从其规定。</w:t>
      </w:r>
    </w:p>
    <w:p w:rsidR="00BC44E7" w14:paraId="3D25F813" w14:textId="77777777">
      <w:pPr>
        <w:snapToGrid w:val="0"/>
        <w:ind w:firstLine="480"/>
        <w:outlineLvl w:val="0"/>
        <w:rPr>
          <w:rFonts w:ascii="宋体" w:hAnsi="宋体" w:cs="宋体"/>
          <w:sz w:val="24"/>
          <w:lang w:eastAsia="zh-CN"/>
        </w:rPr>
      </w:pPr>
    </w:p>
    <w:p w:rsidR="00BC44E7" w14:paraId="74AAD29B"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（二）基金收益分配的时间和程序</w:t>
      </w:r>
    </w:p>
    <w:p w:rsidR="00BC44E7" w14:paraId="585E7F1D"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本基金收益分配方案由基金管理人拟定，并由基金托管人复核，在2日内在规定媒介公告。基金收益分配方案公告后(依据具体方案的规定)，基金管理人就支付的现金红利向基金托管人发送划款指令，基金托管人按照基金管理人的指令及时进行分红资金的划付。</w:t>
      </w:r>
    </w:p>
    <w:p w:rsidR="00BC44E7" w14:paraId="3C3F70A6"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BC44E7" w14:paraId="68D16678"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（三）实施侧袋机制期间的收益分配</w:t>
      </w:r>
    </w:p>
    <w:p w:rsidR="00BC44E7" w14:paraId="44550573"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本基金实施侧袋机制的，侧袋账户不进行收益分配，详见招募说明书的规定。</w:t>
      </w:r>
    </w:p>
    <w:p w:rsidR="00BC44E7" w14:paraId="0CBEF049" w14:textId="77777777">
      <w:pPr>
        <w:snapToGrid w:val="0"/>
        <w:ind w:firstLine="480"/>
        <w:outlineLvl w:val="0"/>
        <w:rPr>
          <w:rFonts w:ascii="宋体" w:hAnsi="宋体" w:cs="宋体"/>
          <w:sz w:val="24"/>
          <w:lang w:eastAsia="zh-CN"/>
        </w:rPr>
      </w:pPr>
    </w:p>
    <w:p w:rsidR="00BC44E7" w14:paraId="1414DC64" w14:textId="77777777">
      <w:pPr>
        <w:snapToGrid w:val="0"/>
        <w:rPr>
          <w:rFonts w:ascii="宋体" w:hAnsi="宋体" w:cs="宋体"/>
          <w:sz w:val="24"/>
          <w:lang w:eastAsia="zh-CN"/>
        </w:rPr>
      </w:pPr>
    </w:p>
    <w:p w:rsidR="00BC44E7" w14:paraId="7F57A0D2" w14:textId="77777777">
      <w:pPr>
        <w:pStyle w:val="21"/>
        <w:jc w:val="center"/>
        <w:rPr>
          <w:rFonts w:ascii="宋体" w:eastAsia="宋体" w:hAnsi="宋体" w:cs="宋体"/>
          <w:sz w:val="30"/>
          <w:lang w:eastAsia="zh-CN"/>
        </w:rPr>
      </w:pPr>
      <w:bookmarkStart w:id="88" w:name="_Toc68875912"/>
      <w:r>
        <w:rPr>
          <w:rFonts w:ascii="宋体" w:eastAsia="宋体" w:hAnsi="宋体" w:cs="宋体" w:hint="eastAsia"/>
          <w:sz w:val="30"/>
          <w:highlight w:val="white"/>
          <w:lang w:eastAsia="zh-CN"/>
        </w:rPr>
        <w:t>十、基金信息披露</w:t>
      </w:r>
      <w:bookmarkEnd w:id="88"/>
    </w:p>
    <w:p w:rsidR="00BC44E7" w14:paraId="5FC196D7"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（一）保密义务</w:t>
      </w:r>
    </w:p>
    <w:p w:rsidR="00BC44E7" w14:paraId="20C4AE5E" w14:textId="77777777">
      <w:pPr>
        <w:snapToGrid w:val="0"/>
        <w:ind w:firstLine="480"/>
        <w:rPr>
          <w:rFonts w:ascii="宋体" w:hAnsi="宋体" w:cs="宋体"/>
          <w:sz w:val="24"/>
          <w:lang w:eastAsia="zh-CN"/>
        </w:rPr>
      </w:pPr>
      <w:r>
        <w:rPr>
          <w:rFonts w:ascii="宋体" w:hAnsi="宋体" w:cs="宋体" w:hint="eastAsia"/>
          <w:sz w:val="24"/>
          <w:highlight w:val="white"/>
          <w:lang w:eastAsia="zh-CN"/>
        </w:rPr>
        <w:t>基金托管人和基金管理人应按法律法规、《基金合同》的有关规定进行信息披露，拟公开披露的信息在公开披露之前应予保密。除按《基金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rsidR="00BC44E7" w14:paraId="34621415" w14:textId="77777777">
      <w:pPr>
        <w:snapToGrid w:val="0"/>
        <w:ind w:firstLine="480"/>
        <w:rPr>
          <w:rFonts w:ascii="宋体" w:hAnsi="宋体" w:cs="宋体"/>
          <w:sz w:val="24"/>
          <w:lang w:eastAsia="zh-CN"/>
        </w:rPr>
      </w:pPr>
      <w:r>
        <w:rPr>
          <w:rFonts w:ascii="宋体" w:hAnsi="宋体" w:cs="宋体" w:hint="eastAsia"/>
          <w:sz w:val="24"/>
          <w:highlight w:val="white"/>
          <w:lang w:eastAsia="zh-CN"/>
        </w:rPr>
        <w:t>1.非因基金管理人和基金托管人的原因导致保密信息被披露、泄露或公开；</w:t>
      </w:r>
    </w:p>
    <w:p w:rsidR="00BC44E7" w14:paraId="31A92B7E" w14:textId="77777777">
      <w:pPr>
        <w:snapToGrid w:val="0"/>
        <w:ind w:firstLine="480"/>
        <w:rPr>
          <w:rFonts w:ascii="宋体" w:hAnsi="宋体" w:cs="宋体"/>
          <w:sz w:val="24"/>
          <w:lang w:eastAsia="zh-CN"/>
        </w:rPr>
      </w:pPr>
      <w:r>
        <w:rPr>
          <w:rFonts w:ascii="宋体" w:hAnsi="宋体" w:cs="宋体" w:hint="eastAsia"/>
          <w:sz w:val="24"/>
          <w:highlight w:val="white"/>
          <w:lang w:eastAsia="zh-CN"/>
        </w:rPr>
        <w:t>2.基金管理人和基金托管人为遵守和服从法院判决或裁定、仲裁裁决或中国证监会等监管机构的命令、决定所做出的信息披露或公开。</w:t>
      </w:r>
    </w:p>
    <w:p w:rsidR="00BC44E7" w14:paraId="41F64DA6"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（二）信息披露的内容</w:t>
      </w:r>
    </w:p>
    <w:p w:rsidR="00BC44E7" w14:paraId="210DC115" w14:textId="77777777">
      <w:pPr>
        <w:snapToGrid w:val="0"/>
        <w:ind w:firstLine="480"/>
        <w:rPr>
          <w:rFonts w:ascii="宋体" w:hAnsi="宋体" w:cs="宋体"/>
          <w:sz w:val="24"/>
          <w:lang w:eastAsia="zh-CN"/>
        </w:rPr>
      </w:pPr>
      <w:r>
        <w:rPr>
          <w:rFonts w:ascii="宋体" w:hAnsi="宋体" w:cs="宋体" w:hint="eastAsia"/>
          <w:sz w:val="24"/>
          <w:highlight w:val="white"/>
          <w:lang w:eastAsia="zh-CN"/>
        </w:rPr>
        <w:t>基金的信息披露内容主要包括基金招募说明书、《基金合同》、托管协议、基金产品资料概要、基金份额发售公告、基金募集情况、《基金合同》生效公告、基金净值信息、基金份额申购、赎回价格、基金定期报告（包括基金年度报告、基金中期报告和基金季度报告）、临时报告、澄清公告、清算报告、基金份额持有人大会决议、</w:t>
      </w:r>
      <w:r>
        <w:rPr>
          <w:rFonts w:ascii="宋体" w:hAnsi="宋体" w:cs="宋体"/>
          <w:color w:val="000000"/>
          <w:sz w:val="24"/>
          <w:highlight w:val="white"/>
          <w:lang w:eastAsia="zh-CN"/>
        </w:rPr>
        <w:t>实施侧袋机制期间的信息披露、</w:t>
      </w:r>
      <w:r>
        <w:rPr>
          <w:rFonts w:ascii="宋体" w:hAnsi="宋体" w:cs="宋体"/>
          <w:sz w:val="24"/>
          <w:highlight w:val="white"/>
          <w:lang w:eastAsia="zh-CN"/>
        </w:rPr>
        <w:t>中国证监会规定的</w:t>
      </w:r>
      <w:r>
        <w:rPr>
          <w:rFonts w:ascii="宋体" w:hAnsi="宋体" w:cs="宋体" w:hint="eastAsia"/>
          <w:sz w:val="24"/>
          <w:highlight w:val="white"/>
          <w:lang w:eastAsia="zh-CN"/>
        </w:rPr>
        <w:t>其他信息。基金年度报告中的财务会计报告需经符合《证券法》规定的会计师事务所审计后，方可披露。</w:t>
      </w:r>
    </w:p>
    <w:p w:rsidR="00BC44E7" w14:paraId="27B50C0F"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（三）基金托管人和基金管理人在信息披露中的职责和信息披露程序</w:t>
      </w:r>
    </w:p>
    <w:p w:rsidR="00BC44E7" w14:paraId="679C7596" w14:textId="77777777">
      <w:pPr>
        <w:snapToGrid w:val="0"/>
        <w:ind w:firstLine="480"/>
        <w:rPr>
          <w:rFonts w:ascii="宋体" w:hAnsi="宋体" w:cs="宋体"/>
          <w:sz w:val="24"/>
          <w:lang w:eastAsia="zh-CN"/>
        </w:rPr>
      </w:pPr>
      <w:r>
        <w:rPr>
          <w:rFonts w:ascii="宋体" w:hAnsi="宋体" w:cs="宋体" w:hint="eastAsia"/>
          <w:sz w:val="24"/>
          <w:highlight w:val="white"/>
          <w:lang w:eastAsia="zh-CN"/>
        </w:rPr>
        <w:t>1.职责</w:t>
      </w:r>
    </w:p>
    <w:p w:rsidR="00BC44E7" w14:paraId="7857E909" w14:textId="77777777">
      <w:pPr>
        <w:snapToGrid w:val="0"/>
        <w:ind w:firstLine="480"/>
        <w:rPr>
          <w:rFonts w:ascii="宋体" w:hAnsi="宋体" w:cs="宋体"/>
          <w:sz w:val="24"/>
          <w:lang w:eastAsia="zh-CN"/>
        </w:rPr>
      </w:pPr>
      <w:r>
        <w:rPr>
          <w:rFonts w:ascii="宋体" w:hAnsi="宋体" w:cs="宋体" w:hint="eastAsia"/>
          <w:sz w:val="24"/>
          <w:highlight w:val="white"/>
          <w:lang w:eastAsia="zh-CN"/>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BC44E7" w14:paraId="5F93ED89" w14:textId="77777777">
      <w:pPr>
        <w:snapToGrid w:val="0"/>
        <w:ind w:firstLine="480"/>
        <w:rPr>
          <w:rFonts w:ascii="宋体" w:hAnsi="宋体" w:cs="宋体"/>
          <w:sz w:val="24"/>
          <w:lang w:eastAsia="zh-CN"/>
        </w:rPr>
      </w:pPr>
      <w:r>
        <w:rPr>
          <w:rFonts w:ascii="宋体" w:hAnsi="宋体" w:cs="宋体" w:hint="eastAsia"/>
          <w:sz w:val="24"/>
          <w:highlight w:val="white"/>
          <w:lang w:eastAsia="zh-CN"/>
        </w:rPr>
        <w:t>对于不需要基金托管人复核的信息，基金管理人在公告前应告知基金托管人。</w:t>
      </w:r>
    </w:p>
    <w:p w:rsidR="00BC44E7" w14:paraId="490C96EE" w14:textId="77777777">
      <w:pPr>
        <w:snapToGrid w:val="0"/>
        <w:ind w:firstLine="480"/>
        <w:rPr>
          <w:rFonts w:ascii="宋体" w:hAnsi="宋体" w:cs="宋体"/>
          <w:sz w:val="24"/>
          <w:lang w:eastAsia="zh-CN"/>
        </w:rPr>
      </w:pPr>
      <w:r>
        <w:rPr>
          <w:rFonts w:ascii="宋体" w:hAnsi="宋体" w:cs="宋体" w:hint="eastAsia"/>
          <w:sz w:val="24"/>
          <w:highlight w:val="white"/>
          <w:lang w:eastAsia="zh-CN"/>
        </w:rPr>
        <w:t>基金管理人和基金托管人应积极配合、互相监督，保证其履行按照法定方式和限时披露的义务。</w:t>
      </w:r>
    </w:p>
    <w:p w:rsidR="00BC44E7" w14:paraId="03071376" w14:textId="77777777">
      <w:pPr>
        <w:snapToGrid w:val="0"/>
        <w:ind w:firstLine="480"/>
        <w:rPr>
          <w:rFonts w:ascii="宋体" w:hAnsi="宋体" w:cs="宋体"/>
          <w:sz w:val="24"/>
          <w:lang w:eastAsia="zh-CN"/>
        </w:rPr>
      </w:pPr>
      <w:r>
        <w:rPr>
          <w:rFonts w:ascii="宋体" w:hAnsi="宋体" w:cs="宋体" w:hint="eastAsia"/>
          <w:sz w:val="24"/>
          <w:highlight w:val="white"/>
          <w:lang w:eastAsia="zh-CN"/>
        </w:rPr>
        <w:t>基金管理人、基金托管人应当在中国证监会规定的时间内，将应予披露的基金信息通过规定媒介披露。</w:t>
      </w:r>
    </w:p>
    <w:p w:rsidR="00BC44E7" w14:paraId="41825807" w14:textId="77777777">
      <w:pPr>
        <w:snapToGrid w:val="0"/>
        <w:ind w:firstLine="480"/>
        <w:rPr>
          <w:rFonts w:ascii="宋体" w:hAnsi="宋体" w:cs="宋体"/>
          <w:sz w:val="24"/>
          <w:lang w:eastAsia="zh-CN"/>
        </w:rPr>
      </w:pPr>
      <w:r>
        <w:rPr>
          <w:rFonts w:ascii="宋体" w:hAnsi="宋体" w:cs="宋体" w:hint="eastAsia"/>
          <w:sz w:val="24"/>
          <w:highlight w:val="white"/>
          <w:lang w:eastAsia="zh-CN"/>
        </w:rPr>
        <w:t>当出现下述情况时，基金管理人和基金托管人可暂停或延迟披露基金相关信息：</w:t>
      </w:r>
    </w:p>
    <w:p w:rsidR="00BC44E7" w14:paraId="4077ED4C" w14:textId="77777777">
      <w:pPr>
        <w:snapToGrid w:val="0"/>
        <w:ind w:firstLine="480"/>
        <w:rPr>
          <w:rFonts w:ascii="宋体" w:hAnsi="宋体" w:cs="宋体"/>
          <w:sz w:val="24"/>
          <w:lang w:eastAsia="zh-CN"/>
        </w:rPr>
      </w:pPr>
      <w:r>
        <w:rPr>
          <w:rFonts w:ascii="宋体" w:hAnsi="宋体" w:cs="宋体" w:hint="eastAsia"/>
          <w:sz w:val="24"/>
          <w:highlight w:val="white"/>
          <w:lang w:eastAsia="zh-CN"/>
        </w:rPr>
        <w:t>(1)不可抗力；</w:t>
      </w:r>
    </w:p>
    <w:p w:rsidR="00BC44E7" w14:paraId="53D7448A" w14:textId="77777777">
      <w:pPr>
        <w:snapToGrid w:val="0"/>
        <w:ind w:firstLine="480"/>
        <w:rPr>
          <w:rFonts w:ascii="宋体" w:hAnsi="宋体" w:cs="宋体"/>
          <w:sz w:val="24"/>
          <w:lang w:eastAsia="zh-CN"/>
        </w:rPr>
      </w:pPr>
      <w:r>
        <w:rPr>
          <w:rFonts w:ascii="宋体" w:hAnsi="宋体" w:cs="宋体" w:hint="eastAsia"/>
          <w:sz w:val="24"/>
          <w:highlight w:val="white"/>
          <w:lang w:eastAsia="zh-CN"/>
        </w:rPr>
        <w:t>(2)基金投资所涉及的证券交易市场遇法定节假日或因其他原因暂停营业时；</w:t>
      </w:r>
    </w:p>
    <w:p w:rsidR="00BC44E7" w14:paraId="046D4A5D" w14:textId="77777777">
      <w:pPr>
        <w:snapToGrid w:val="0"/>
        <w:ind w:firstLine="480"/>
        <w:rPr>
          <w:rFonts w:ascii="宋体" w:hAnsi="宋体" w:cs="宋体"/>
          <w:sz w:val="24"/>
          <w:lang w:eastAsia="zh-CN"/>
        </w:rPr>
      </w:pPr>
      <w:r>
        <w:rPr>
          <w:rFonts w:ascii="宋体" w:hAnsi="宋体" w:cs="宋体" w:hint="eastAsia"/>
          <w:sz w:val="24"/>
          <w:highlight w:val="white"/>
          <w:lang w:eastAsia="zh-CN"/>
        </w:rPr>
        <w:t>(3)出现基金管理人认为属于会导致基金管理人不能出售或评估基金资产的紧急事故的任何情况；</w:t>
      </w:r>
    </w:p>
    <w:p w:rsidR="00BC44E7" w14:paraId="6FCA784C" w14:textId="77777777">
      <w:pPr>
        <w:snapToGrid w:val="0"/>
        <w:ind w:firstLine="480"/>
        <w:rPr>
          <w:rFonts w:ascii="宋体" w:hAnsi="宋体" w:cs="宋体"/>
          <w:sz w:val="24"/>
          <w:lang w:eastAsia="zh-CN"/>
        </w:rPr>
      </w:pPr>
      <w:r>
        <w:rPr>
          <w:rFonts w:ascii="宋体" w:hAnsi="宋体" w:cs="宋体" w:hint="eastAsia"/>
          <w:sz w:val="24"/>
          <w:highlight w:val="white"/>
          <w:lang w:eastAsia="zh-CN"/>
        </w:rPr>
        <w:t>(4)法律法规、《基金合同》或中国证监会规定的情况。</w:t>
      </w:r>
    </w:p>
    <w:p w:rsidR="00BC44E7" w14:paraId="4575E363" w14:textId="77777777">
      <w:pPr>
        <w:snapToGrid w:val="0"/>
        <w:ind w:firstLine="480"/>
        <w:rPr>
          <w:rFonts w:ascii="宋体" w:hAnsi="宋体" w:cs="宋体"/>
          <w:sz w:val="24"/>
          <w:lang w:eastAsia="zh-CN"/>
        </w:rPr>
      </w:pPr>
      <w:r>
        <w:rPr>
          <w:rFonts w:ascii="宋体" w:hAnsi="宋体" w:cs="宋体" w:hint="eastAsia"/>
          <w:sz w:val="24"/>
          <w:highlight w:val="white"/>
          <w:lang w:eastAsia="zh-CN"/>
        </w:rPr>
        <w:t>2.程序</w:t>
      </w:r>
    </w:p>
    <w:p w:rsidR="00BC44E7" w14:paraId="56A11678" w14:textId="77777777">
      <w:pPr>
        <w:snapToGrid w:val="0"/>
        <w:ind w:firstLine="480"/>
        <w:rPr>
          <w:rFonts w:ascii="宋体" w:hAnsi="宋体" w:cs="宋体"/>
          <w:sz w:val="24"/>
          <w:lang w:eastAsia="zh-CN"/>
        </w:rPr>
      </w:pPr>
      <w:r>
        <w:rPr>
          <w:rFonts w:ascii="宋体" w:hAnsi="宋体" w:cs="宋体" w:hint="eastAsia"/>
          <w:sz w:val="24"/>
          <w:highlight w:val="white"/>
          <w:lang w:eastAsia="zh-CN"/>
        </w:rPr>
        <w:t>按有关规定须经基金托管人复核的信息披露文件，由基金管理人起草、并经基金托管人复核后由基金管理人公告。发生《基金合同》中规定需要披露的事项时，按《基金合同》规定公布。</w:t>
      </w:r>
    </w:p>
    <w:p w:rsidR="00BC44E7" w14:paraId="7CE7DAB3" w14:textId="77777777">
      <w:pPr>
        <w:snapToGrid w:val="0"/>
        <w:ind w:firstLine="480"/>
        <w:rPr>
          <w:rFonts w:ascii="宋体" w:hAnsi="宋体" w:cs="宋体"/>
          <w:sz w:val="24"/>
          <w:lang w:eastAsia="zh-CN"/>
        </w:rPr>
      </w:pPr>
      <w:r>
        <w:rPr>
          <w:rFonts w:ascii="宋体" w:hAnsi="宋体" w:cs="宋体" w:hint="eastAsia"/>
          <w:sz w:val="24"/>
          <w:highlight w:val="white"/>
          <w:lang w:eastAsia="zh-CN"/>
        </w:rPr>
        <w:t>3.信息文本的存放</w:t>
      </w:r>
    </w:p>
    <w:p w:rsidR="00BC44E7" w14:paraId="65BDEE73" w14:textId="77777777">
      <w:pPr>
        <w:snapToGrid w:val="0"/>
        <w:ind w:firstLine="480"/>
        <w:rPr>
          <w:rFonts w:ascii="宋体" w:hAnsi="宋体" w:cs="宋体"/>
          <w:sz w:val="24"/>
          <w:lang w:eastAsia="zh-CN"/>
        </w:rPr>
      </w:pPr>
      <w:r>
        <w:rPr>
          <w:rFonts w:ascii="宋体" w:hAnsi="宋体" w:cs="宋体" w:hint="eastAsia"/>
          <w:sz w:val="24"/>
          <w:highlight w:val="white"/>
          <w:lang w:eastAsia="zh-CN"/>
        </w:rPr>
        <w:t>予以披露的信息文本，存放在基金管理人/基金托管人办公场所，投资者可以免费查阅。在支付工本费后可在合理时间获得上述文件的复制件或复印件。基金管理人和基金托管人应保证文本的内容与所公告的内容完全一致。</w:t>
      </w:r>
    </w:p>
    <w:p w:rsidR="00BC44E7" w14:paraId="4271A17F" w14:textId="77777777">
      <w:pPr>
        <w:snapToGrid w:val="0"/>
        <w:ind w:firstLine="480"/>
        <w:rPr>
          <w:rFonts w:ascii="宋体" w:hAnsi="宋体" w:cs="宋体"/>
          <w:sz w:val="24"/>
          <w:lang w:eastAsia="zh-CN"/>
        </w:rPr>
      </w:pPr>
      <w:r>
        <w:rPr>
          <w:rFonts w:ascii="宋体" w:hAnsi="宋体" w:cs="宋体" w:hint="eastAsia"/>
          <w:sz w:val="24"/>
          <w:highlight w:val="white"/>
          <w:lang w:eastAsia="zh-CN"/>
        </w:rPr>
        <w:t>相关法律法规关于信息披露的规定发生变化时，本基金从其最新规定。</w:t>
      </w:r>
    </w:p>
    <w:p w:rsidR="00BC44E7" w14:paraId="1C4D584F" w14:textId="77777777">
      <w:pPr>
        <w:snapToGrid w:val="0"/>
        <w:ind w:firstLine="480"/>
        <w:rPr>
          <w:rFonts w:ascii="宋体" w:hAnsi="宋体" w:cs="宋体"/>
          <w:sz w:val="24"/>
          <w:lang w:eastAsia="zh-CN"/>
        </w:rPr>
      </w:pPr>
      <w:r>
        <w:rPr>
          <w:rFonts w:ascii="宋体" w:hAnsi="宋体" w:cs="宋体" w:hint="eastAsia"/>
          <w:sz w:val="24"/>
          <w:highlight w:val="white"/>
          <w:lang w:eastAsia="zh-CN"/>
        </w:rPr>
        <w:t>（四）实施侧袋机制期间的信息披露</w:t>
      </w:r>
    </w:p>
    <w:p w:rsidR="00BC44E7" w14:paraId="5E419A00" w14:textId="77777777">
      <w:pPr>
        <w:snapToGrid w:val="0"/>
        <w:ind w:firstLine="480"/>
        <w:rPr>
          <w:rFonts w:ascii="宋体" w:hAnsi="宋体" w:cs="宋体"/>
          <w:sz w:val="24"/>
          <w:lang w:eastAsia="zh-CN"/>
        </w:rPr>
      </w:pPr>
      <w:r>
        <w:rPr>
          <w:rFonts w:ascii="宋体" w:hAnsi="宋体" w:cs="宋体" w:hint="eastAsia"/>
          <w:sz w:val="24"/>
          <w:highlight w:val="white"/>
          <w:lang w:eastAsia="zh-CN"/>
        </w:rPr>
        <w:t>本基金实施侧袋机制的，相关信息披露义务人应当根据法律法规、基金合同和招募说明书的规定进行信息披露，详见招募说明书的规定。</w:t>
      </w:r>
    </w:p>
    <w:p w:rsidR="00BC44E7" w14:paraId="15BDE0E6" w14:textId="77777777">
      <w:pPr>
        <w:snapToGrid w:val="0"/>
        <w:ind w:firstLine="480"/>
        <w:rPr>
          <w:rFonts w:ascii="宋体" w:hAnsi="宋体" w:cs="宋体"/>
          <w:sz w:val="24"/>
          <w:lang w:eastAsia="zh-CN"/>
        </w:rPr>
      </w:pPr>
      <w:r>
        <w:rPr>
          <w:rFonts w:ascii="宋体" w:hAnsi="宋体" w:cs="宋体" w:hint="eastAsia"/>
          <w:sz w:val="24"/>
          <w:highlight w:val="white"/>
          <w:lang w:eastAsia="zh-CN"/>
        </w:rPr>
        <w:t>（五）法律法规或监管部门对适用于本基金的信息披露另有规定的，从其规定。如规定发生变化的，从其最新规定。</w:t>
      </w:r>
    </w:p>
    <w:p w:rsidR="00BC44E7" w14:paraId="30698470" w14:textId="77777777">
      <w:pPr>
        <w:pStyle w:val="NormalIndent"/>
        <w:ind w:firstLine="0"/>
        <w:rPr>
          <w:rFonts w:ascii="宋体" w:hAnsi="宋体" w:cs="宋体"/>
          <w:sz w:val="24"/>
          <w:lang w:eastAsia="zh-CN"/>
        </w:rPr>
      </w:pPr>
    </w:p>
    <w:p w:rsidR="00BC44E7" w14:paraId="5B0A8EF5" w14:textId="77777777">
      <w:pPr>
        <w:pStyle w:val="21"/>
        <w:jc w:val="center"/>
        <w:rPr>
          <w:rFonts w:ascii="宋体" w:eastAsia="宋体" w:hAnsi="宋体" w:cs="宋体"/>
          <w:sz w:val="30"/>
          <w:lang w:eastAsia="zh-CN"/>
        </w:rPr>
      </w:pPr>
      <w:bookmarkStart w:id="89" w:name="_Toc68875913"/>
      <w:r>
        <w:rPr>
          <w:rFonts w:ascii="宋体" w:eastAsia="宋体" w:hAnsi="宋体" w:cs="宋体" w:hint="eastAsia"/>
          <w:sz w:val="30"/>
          <w:highlight w:val="white"/>
          <w:lang w:eastAsia="zh-CN"/>
        </w:rPr>
        <w:t>十一、基金费用</w:t>
      </w:r>
      <w:bookmarkEnd w:id="89"/>
    </w:p>
    <w:p w:rsidR="00BC44E7" w14:paraId="3F1B37C7" w14:textId="77777777">
      <w:pPr>
        <w:snapToGrid w:val="0"/>
        <w:ind w:firstLine="480"/>
        <w:rPr>
          <w:rFonts w:ascii="宋体" w:hAnsi="宋体" w:cs="宋体"/>
          <w:sz w:val="24"/>
          <w:lang w:eastAsia="zh-CN"/>
        </w:rPr>
      </w:pPr>
      <w:r>
        <w:rPr>
          <w:rFonts w:ascii="宋体" w:hAnsi="宋体" w:cs="宋体" w:hint="eastAsia"/>
          <w:sz w:val="24"/>
          <w:highlight w:val="white"/>
          <w:lang w:eastAsia="zh-CN"/>
        </w:rPr>
        <w:t>（一）基金管理费的计提比例和计提方法</w:t>
      </w:r>
    </w:p>
    <w:p w:rsidR="00BC44E7" w14:paraId="1237A0EB" w14:textId="77777777">
      <w:pPr>
        <w:snapToGrid w:val="0"/>
        <w:ind w:firstLine="480"/>
        <w:rPr>
          <w:rFonts w:ascii="宋体" w:hAnsi="宋体" w:cs="宋体"/>
          <w:sz w:val="24"/>
          <w:lang w:eastAsia="zh-CN"/>
        </w:rPr>
      </w:pPr>
      <w:r>
        <w:rPr>
          <w:rFonts w:ascii="宋体" w:hAnsi="宋体" w:cs="宋体" w:hint="eastAsia"/>
          <w:sz w:val="24"/>
          <w:highlight w:val="white"/>
          <w:lang w:eastAsia="zh-CN"/>
        </w:rPr>
        <w:t>本基金投资于本基金管理人所管理的基金的部分不收取管理费。本基金管理费按前一日基金资产净值扣除前一日所持有本基金管理人管理的其他基金公允价值后的余额（若为负数，则取0）的0.60%年费率计提。管理费的计算方法如下：</w:t>
      </w:r>
    </w:p>
    <w:p w:rsidR="00BC44E7" w14:paraId="7B24FFC1" w14:textId="77777777">
      <w:pPr>
        <w:snapToGrid w:val="0"/>
        <w:ind w:firstLine="480"/>
        <w:rPr>
          <w:rFonts w:ascii="宋体" w:hAnsi="宋体" w:cs="宋体"/>
          <w:sz w:val="24"/>
          <w:lang w:eastAsia="zh-CN"/>
        </w:rPr>
      </w:pPr>
      <w:r>
        <w:rPr>
          <w:rFonts w:ascii="宋体" w:hAnsi="宋体" w:cs="宋体" w:hint="eastAsia"/>
          <w:sz w:val="24"/>
          <w:highlight w:val="white"/>
          <w:lang w:eastAsia="zh-CN"/>
        </w:rPr>
        <w:t>H＝E×0.60%÷当年天数</w:t>
      </w:r>
    </w:p>
    <w:p w:rsidR="00BC44E7" w14:paraId="55748BA5" w14:textId="77777777">
      <w:pPr>
        <w:snapToGrid w:val="0"/>
        <w:ind w:firstLine="480"/>
        <w:rPr>
          <w:rFonts w:ascii="宋体" w:hAnsi="宋体" w:cs="宋体"/>
          <w:sz w:val="24"/>
          <w:lang w:eastAsia="zh-CN"/>
        </w:rPr>
      </w:pPr>
      <w:r>
        <w:rPr>
          <w:rFonts w:ascii="宋体" w:hAnsi="宋体" w:cs="宋体" w:hint="eastAsia"/>
          <w:sz w:val="24"/>
          <w:highlight w:val="white"/>
          <w:lang w:eastAsia="zh-CN"/>
        </w:rPr>
        <w:t>H为每日应计提的基金管理费</w:t>
      </w:r>
    </w:p>
    <w:p w:rsidR="00BC44E7" w14:paraId="731E0E95" w14:textId="77777777">
      <w:pPr>
        <w:snapToGrid w:val="0"/>
        <w:ind w:firstLine="480"/>
        <w:rPr>
          <w:rFonts w:ascii="宋体" w:hAnsi="宋体" w:cs="宋体"/>
          <w:sz w:val="24"/>
          <w:lang w:eastAsia="zh-CN"/>
        </w:rPr>
      </w:pPr>
      <w:r>
        <w:rPr>
          <w:rFonts w:ascii="宋体" w:hAnsi="宋体" w:cs="宋体" w:hint="eastAsia"/>
          <w:sz w:val="24"/>
          <w:highlight w:val="white"/>
          <w:lang w:eastAsia="zh-CN"/>
        </w:rPr>
        <w:t>E为前一日的基金资产净值扣除前一日所持有的基金管理人管理的其他基金公允价值后的余额，若为负数，则E取0</w:t>
      </w:r>
    </w:p>
    <w:p w:rsidR="00BC44E7" w14:paraId="63225B92" w14:textId="77777777">
      <w:pPr>
        <w:snapToGrid w:val="0"/>
        <w:ind w:firstLine="480"/>
        <w:rPr>
          <w:rFonts w:ascii="宋体" w:hAnsi="宋体" w:cs="宋体"/>
          <w:sz w:val="24"/>
          <w:lang w:eastAsia="zh-CN"/>
        </w:rPr>
      </w:pPr>
      <w:r>
        <w:rPr>
          <w:rFonts w:ascii="宋体" w:hAnsi="宋体" w:cs="宋体" w:hint="eastAsia"/>
          <w:sz w:val="24"/>
          <w:highlight w:val="white"/>
          <w:lang w:eastAsia="zh-CN"/>
        </w:rPr>
        <w:t>（二）基金托管费的计提比例和计提方法</w:t>
      </w:r>
    </w:p>
    <w:p w:rsidR="00BC44E7" w14:paraId="381FCA2E" w14:textId="77777777">
      <w:pPr>
        <w:snapToGrid w:val="0"/>
        <w:ind w:firstLine="480"/>
        <w:rPr>
          <w:rFonts w:ascii="宋体" w:hAnsi="宋体" w:cs="宋体"/>
          <w:sz w:val="24"/>
          <w:lang w:eastAsia="zh-CN"/>
        </w:rPr>
      </w:pPr>
      <w:r>
        <w:rPr>
          <w:rFonts w:ascii="宋体" w:hAnsi="宋体" w:cs="宋体" w:hint="eastAsia"/>
          <w:sz w:val="24"/>
          <w:highlight w:val="white"/>
          <w:lang w:eastAsia="zh-CN"/>
        </w:rPr>
        <w:t>本基金投资于本基金托管人所托管的基金的部分不收取托管费。本基金托管费按前一日基金资产净值扣除前一日所持有本基金托管人托管的其他基金公允价值后的余额（若为负数，则取0）的0.15%年费率计提。托管费的计算方法如下：</w:t>
      </w:r>
    </w:p>
    <w:p w:rsidR="00BC44E7" w14:paraId="369C0DE5" w14:textId="77777777">
      <w:pPr>
        <w:snapToGrid w:val="0"/>
        <w:ind w:firstLine="480"/>
        <w:rPr>
          <w:rFonts w:ascii="宋体" w:hAnsi="宋体" w:cs="宋体"/>
          <w:sz w:val="24"/>
          <w:lang w:eastAsia="zh-CN"/>
        </w:rPr>
      </w:pPr>
      <w:r>
        <w:rPr>
          <w:rFonts w:ascii="宋体" w:hAnsi="宋体" w:cs="宋体" w:hint="eastAsia"/>
          <w:sz w:val="24"/>
          <w:highlight w:val="white"/>
          <w:lang w:eastAsia="zh-CN"/>
        </w:rPr>
        <w:t>H＝E×0.15%÷当年天数</w:t>
      </w:r>
    </w:p>
    <w:p w:rsidR="00BC44E7" w14:paraId="1BCDD319" w14:textId="77777777">
      <w:pPr>
        <w:snapToGrid w:val="0"/>
        <w:ind w:firstLine="480"/>
        <w:rPr>
          <w:rFonts w:ascii="宋体" w:hAnsi="宋体" w:cs="宋体"/>
          <w:sz w:val="24"/>
          <w:lang w:eastAsia="zh-CN"/>
        </w:rPr>
      </w:pPr>
      <w:r>
        <w:rPr>
          <w:rFonts w:ascii="宋体" w:hAnsi="宋体" w:cs="宋体" w:hint="eastAsia"/>
          <w:sz w:val="24"/>
          <w:highlight w:val="white"/>
          <w:lang w:eastAsia="zh-CN"/>
        </w:rPr>
        <w:t>H为每日应计提的基金托管费</w:t>
      </w:r>
    </w:p>
    <w:p w:rsidR="00BC44E7" w14:paraId="422835CE" w14:textId="77777777">
      <w:pPr>
        <w:snapToGrid w:val="0"/>
        <w:ind w:firstLine="480"/>
        <w:rPr>
          <w:rFonts w:ascii="宋体" w:hAnsi="宋体" w:cs="宋体"/>
          <w:sz w:val="24"/>
          <w:lang w:eastAsia="zh-CN"/>
        </w:rPr>
      </w:pPr>
      <w:r>
        <w:rPr>
          <w:rFonts w:ascii="宋体" w:hAnsi="宋体" w:cs="宋体" w:hint="eastAsia"/>
          <w:sz w:val="24"/>
          <w:highlight w:val="white"/>
          <w:lang w:eastAsia="zh-CN"/>
        </w:rPr>
        <w:t>E为前一日的基金资产净值扣除前一日所持有的基金托管人托管的其他基金公允价值后的余额，若为负数，则E取0</w:t>
      </w:r>
    </w:p>
    <w:p w:rsidR="00BC44E7" w14:paraId="1BA503DE" w14:textId="77777777">
      <w:pPr>
        <w:snapToGrid w:val="0"/>
        <w:ind w:firstLine="480"/>
        <w:rPr>
          <w:rFonts w:ascii="宋体" w:hAnsi="宋体" w:cs="宋体"/>
          <w:sz w:val="24"/>
          <w:lang w:eastAsia="zh-CN"/>
        </w:rPr>
      </w:pPr>
    </w:p>
    <w:p w:rsidR="00BC44E7" w14:paraId="249221EF" w14:textId="77777777">
      <w:pPr>
        <w:snapToGrid w:val="0"/>
        <w:ind w:firstLine="480"/>
        <w:rPr>
          <w:rFonts w:ascii="宋体" w:hAnsi="宋体" w:cs="宋体"/>
          <w:sz w:val="24"/>
          <w:lang w:eastAsia="zh-CN"/>
        </w:rPr>
      </w:pPr>
      <w:r>
        <w:rPr>
          <w:rFonts w:ascii="宋体" w:hAnsi="宋体" w:cs="宋体" w:hint="eastAsia"/>
          <w:sz w:val="24"/>
          <w:highlight w:val="white"/>
          <w:lang w:eastAsia="zh-CN"/>
        </w:rPr>
        <w:t>（三）基金销售服务费的计提比例和计提方法</w:t>
      </w:r>
    </w:p>
    <w:p w:rsidR="00BC44E7" w14:paraId="152C8FD7" w14:textId="77777777">
      <w:pPr>
        <w:snapToGrid w:val="0"/>
        <w:ind w:firstLine="480"/>
        <w:rPr>
          <w:rFonts w:ascii="宋体" w:hAnsi="宋体" w:cs="宋体"/>
          <w:sz w:val="24"/>
          <w:lang w:eastAsia="zh-CN"/>
        </w:rPr>
      </w:pPr>
      <w:r>
        <w:rPr>
          <w:rFonts w:ascii="宋体" w:hAnsi="宋体" w:cs="宋体"/>
          <w:sz w:val="24"/>
          <w:highlight w:val="white"/>
          <w:lang w:eastAsia="zh-CN"/>
        </w:rPr>
        <w:t>本基金A类基金份额不收取销售服务费，C类基金份额的销售服务费年费率为0.30%，按前一日C类基金资产净值的0.30%年费率计提。</w:t>
      </w:r>
    </w:p>
    <w:p w:rsidR="00BC44E7" w14:paraId="6996DF8E" w14:textId="77777777">
      <w:pPr>
        <w:snapToGrid w:val="0"/>
        <w:ind w:firstLine="480"/>
        <w:rPr>
          <w:rFonts w:ascii="宋体" w:hAnsi="宋体" w:cs="宋体"/>
          <w:sz w:val="24"/>
          <w:lang w:eastAsia="zh-CN"/>
        </w:rPr>
      </w:pPr>
      <w:r>
        <w:rPr>
          <w:rFonts w:ascii="宋体" w:hAnsi="宋体" w:cs="宋体"/>
          <w:sz w:val="24"/>
          <w:highlight w:val="white"/>
          <w:lang w:eastAsia="zh-CN"/>
        </w:rPr>
        <w:t>销售服务费的计算方法如下：</w:t>
      </w:r>
    </w:p>
    <w:p w:rsidR="00BC44E7" w14:paraId="5C0B2A1E" w14:textId="77777777">
      <w:pPr>
        <w:snapToGrid w:val="0"/>
        <w:ind w:firstLine="480"/>
        <w:rPr>
          <w:rFonts w:ascii="宋体" w:hAnsi="宋体" w:cs="宋体"/>
          <w:sz w:val="24"/>
          <w:lang w:eastAsia="zh-CN"/>
        </w:rPr>
      </w:pPr>
      <w:r>
        <w:rPr>
          <w:rFonts w:ascii="宋体" w:hAnsi="宋体" w:cs="宋体"/>
          <w:sz w:val="24"/>
          <w:highlight w:val="white"/>
          <w:lang w:eastAsia="zh-CN"/>
        </w:rPr>
        <w:t>H＝E×0.30%÷当年天数</w:t>
      </w:r>
    </w:p>
    <w:p w:rsidR="00BC44E7" w14:paraId="335BB171" w14:textId="77777777">
      <w:pPr>
        <w:snapToGrid w:val="0"/>
        <w:ind w:firstLine="480"/>
        <w:rPr>
          <w:rFonts w:ascii="宋体" w:hAnsi="宋体" w:cs="宋体"/>
          <w:sz w:val="24"/>
          <w:lang w:eastAsia="zh-CN"/>
        </w:rPr>
      </w:pPr>
      <w:r>
        <w:rPr>
          <w:rFonts w:ascii="宋体" w:hAnsi="宋体" w:cs="宋体"/>
          <w:sz w:val="24"/>
          <w:highlight w:val="white"/>
          <w:lang w:eastAsia="zh-CN"/>
        </w:rPr>
        <w:t>H 为C类基金份额每日应计提的销售服务费</w:t>
      </w:r>
    </w:p>
    <w:p w:rsidR="00BC44E7" w14:paraId="5FB30F25" w14:textId="77777777">
      <w:pPr>
        <w:snapToGrid w:val="0"/>
        <w:ind w:firstLine="480"/>
        <w:rPr>
          <w:rFonts w:ascii="宋体" w:hAnsi="宋体" w:cs="宋体"/>
          <w:sz w:val="24"/>
          <w:lang w:eastAsia="zh-CN"/>
        </w:rPr>
      </w:pPr>
      <w:r>
        <w:rPr>
          <w:rFonts w:ascii="宋体" w:hAnsi="宋体" w:cs="宋体"/>
          <w:sz w:val="24"/>
          <w:highlight w:val="white"/>
          <w:lang w:eastAsia="zh-CN"/>
        </w:rPr>
        <w:t>E 为C类基金份额前一日基金资产净值</w:t>
      </w:r>
    </w:p>
    <w:p w:rsidR="00BC44E7" w14:paraId="7358E923" w14:textId="77777777">
      <w:pPr>
        <w:snapToGrid w:val="0"/>
        <w:ind w:firstLine="480"/>
        <w:rPr>
          <w:rFonts w:ascii="宋体" w:hAnsi="宋体" w:cs="宋体"/>
          <w:sz w:val="24"/>
          <w:lang w:eastAsia="zh-CN"/>
        </w:rPr>
      </w:pPr>
      <w:r>
        <w:rPr>
          <w:rFonts w:ascii="宋体" w:hAnsi="宋体" w:cs="宋体" w:hint="eastAsia"/>
          <w:sz w:val="24"/>
          <w:highlight w:val="white"/>
          <w:lang w:eastAsia="zh-CN"/>
        </w:rPr>
        <w:t>（四）证券账户开户费用、证券交易费用、因投资港股通股票而产生的各项合理费用、基金的银行汇划费用、银行账户维护费用、《基金合同》生效后与基金相关的信息披露费用（但法律法规、中国证监会另有规定的除外）、基金份额持有人大会费用、《基金合同》生效后与基金有关的会计师费、律师费、诉讼费和仲裁费等根据有关法律法规、《基金合同》及相应协议的规定，列入当期基金费用。</w:t>
      </w:r>
    </w:p>
    <w:p w:rsidR="00BC44E7" w14:paraId="34F4D6BB" w14:textId="77777777">
      <w:pPr>
        <w:snapToGrid w:val="0"/>
        <w:ind w:firstLine="480"/>
        <w:rPr>
          <w:rFonts w:ascii="宋体" w:hAnsi="宋体" w:cs="宋体"/>
          <w:sz w:val="24"/>
          <w:lang w:eastAsia="zh-CN"/>
        </w:rPr>
      </w:pPr>
      <w:r>
        <w:rPr>
          <w:rFonts w:ascii="宋体" w:hAnsi="宋体" w:cs="宋体" w:hint="eastAsia"/>
          <w:sz w:val="24"/>
          <w:highlight w:val="white"/>
          <w:lang w:eastAsia="zh-CN"/>
        </w:rPr>
        <w:t>（五）不列入基金费用的项目</w:t>
      </w:r>
    </w:p>
    <w:p w:rsidR="00BC44E7" w14:paraId="2FDE96E1" w14:textId="77777777">
      <w:pPr>
        <w:snapToGrid w:val="0"/>
        <w:ind w:firstLine="480"/>
        <w:rPr>
          <w:rFonts w:ascii="宋体" w:hAnsi="宋体" w:cs="宋体"/>
          <w:sz w:val="24"/>
          <w:lang w:eastAsia="zh-CN"/>
        </w:rPr>
      </w:pPr>
      <w:r>
        <w:rPr>
          <w:rFonts w:ascii="宋体" w:hAnsi="宋体" w:cs="宋体" w:hint="eastAsia"/>
          <w:sz w:val="24"/>
          <w:highlight w:val="white"/>
          <w:lang w:eastAsia="zh-CN"/>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rsidR="00BC44E7" w14:paraId="094F1281" w14:textId="77777777">
      <w:pPr>
        <w:snapToGrid w:val="0"/>
        <w:ind w:firstLine="480"/>
        <w:rPr>
          <w:rFonts w:ascii="宋体" w:hAnsi="宋体" w:cs="宋体"/>
          <w:sz w:val="24"/>
          <w:lang w:eastAsia="zh-CN"/>
        </w:rPr>
      </w:pPr>
      <w:r>
        <w:rPr>
          <w:rFonts w:ascii="宋体" w:hAnsi="宋体" w:cs="宋体" w:hint="eastAsia"/>
          <w:sz w:val="24"/>
          <w:highlight w:val="white"/>
          <w:lang w:eastAsia="zh-CN"/>
        </w:rPr>
        <w:t>（六）基金管理费、基金托管费和销售服务费的复核程序、支付方式和时间</w:t>
      </w:r>
    </w:p>
    <w:p w:rsidR="00BC44E7" w14:paraId="39858D65" w14:textId="77777777">
      <w:pPr>
        <w:snapToGrid w:val="0"/>
        <w:ind w:firstLine="480"/>
        <w:rPr>
          <w:rFonts w:ascii="宋体" w:hAnsi="宋体" w:cs="宋体"/>
          <w:sz w:val="24"/>
          <w:lang w:eastAsia="zh-CN"/>
        </w:rPr>
      </w:pPr>
      <w:r>
        <w:rPr>
          <w:rFonts w:ascii="宋体" w:hAnsi="宋体" w:cs="宋体" w:hint="eastAsia"/>
          <w:sz w:val="24"/>
          <w:highlight w:val="white"/>
          <w:lang w:eastAsia="zh-CN"/>
        </w:rPr>
        <w:t>1.复核程序</w:t>
      </w:r>
    </w:p>
    <w:p w:rsidR="00BC44E7" w14:paraId="538E2DD0" w14:textId="082E9A3A">
      <w:pPr>
        <w:snapToGrid w:val="0"/>
        <w:ind w:firstLine="480"/>
        <w:rPr>
          <w:rFonts w:ascii="宋体" w:hAnsi="宋体" w:cs="宋体"/>
          <w:sz w:val="24"/>
          <w:lang w:eastAsia="zh-CN"/>
        </w:rPr>
      </w:pPr>
      <w:r>
        <w:rPr>
          <w:rFonts w:ascii="宋体" w:hAnsi="宋体" w:cs="宋体" w:hint="eastAsia"/>
          <w:sz w:val="24"/>
          <w:highlight w:val="white"/>
          <w:lang w:eastAsia="zh-CN"/>
        </w:rPr>
        <w:t>基金托管人对基金管理人计提的基金管理费、基金托管费和销售服务费等，根据本托管协议和《基金合同》的有关规定进行复核。</w:t>
      </w:r>
      <w:r w:rsidRPr="007815E7" w:rsidR="007815E7">
        <w:rPr>
          <w:rFonts w:ascii="宋体" w:hAnsi="宋体" w:cs="宋体" w:hint="eastAsia"/>
          <w:sz w:val="24"/>
          <w:lang w:eastAsia="zh-CN"/>
        </w:rPr>
        <w:t>因涉及相关数据，应付销售服务费的计算工作由基金管理人完成，相关信息以注册登记机构计算结果为准，基金托管人不承担复核责任。</w:t>
      </w:r>
    </w:p>
    <w:p w:rsidR="00BC44E7" w14:paraId="10806167" w14:textId="77777777">
      <w:pPr>
        <w:snapToGrid w:val="0"/>
        <w:ind w:firstLine="480"/>
        <w:rPr>
          <w:rFonts w:ascii="宋体" w:hAnsi="宋体" w:cs="宋体"/>
          <w:sz w:val="24"/>
          <w:lang w:eastAsia="zh-CN"/>
        </w:rPr>
      </w:pPr>
      <w:r>
        <w:rPr>
          <w:rFonts w:ascii="宋体" w:hAnsi="宋体" w:cs="宋体" w:hint="eastAsia"/>
          <w:sz w:val="24"/>
          <w:highlight w:val="white"/>
          <w:lang w:eastAsia="zh-CN"/>
        </w:rPr>
        <w:t>2.支付方式和时间</w:t>
      </w:r>
    </w:p>
    <w:p w:rsidR="00BC44E7" w14:paraId="282561EB" w14:textId="3A4A01BA">
      <w:pPr>
        <w:snapToGrid w:val="0"/>
        <w:ind w:firstLine="480"/>
        <w:rPr>
          <w:rFonts w:ascii="宋体" w:hAnsi="宋体" w:cs="宋体"/>
          <w:sz w:val="24"/>
          <w:lang w:eastAsia="zh-CN"/>
        </w:rPr>
      </w:pPr>
      <w:r>
        <w:rPr>
          <w:rFonts w:ascii="宋体" w:hAnsi="宋体" w:cs="宋体" w:hint="eastAsia"/>
          <w:sz w:val="24"/>
          <w:highlight w:val="white"/>
          <w:lang w:eastAsia="zh-CN"/>
        </w:rPr>
        <w:t>基金管理费、基金托管费</w:t>
      </w:r>
      <w:r>
        <w:rPr>
          <w:rFonts w:ascii="宋体" w:hAnsi="宋体" w:cs="宋体"/>
          <w:sz w:val="24"/>
          <w:highlight w:val="white"/>
          <w:lang w:eastAsia="zh-CN"/>
        </w:rPr>
        <w:t>每日计提，逐日累</w:t>
      </w:r>
      <w:r>
        <w:rPr>
          <w:rFonts w:ascii="宋体" w:hAnsi="宋体" w:cs="宋体" w:hint="eastAsia"/>
          <w:sz w:val="24"/>
          <w:highlight w:val="white"/>
          <w:lang w:eastAsia="zh-CN"/>
        </w:rPr>
        <w:t>计至每月月末，</w:t>
      </w:r>
      <w:r>
        <w:rPr>
          <w:rFonts w:ascii="宋体" w:hAnsi="宋体" w:cs="宋体"/>
          <w:sz w:val="24"/>
          <w:highlight w:val="white"/>
          <w:lang w:eastAsia="zh-CN"/>
        </w:rPr>
        <w:t>按月支付，由基金托管人根据与基金管理人核对一致的财务数据，自动在月初5个工作日内、按照指定的账户路径进行资金支付，基金管理人无需再出具资金划拨指令。若遇法定节假日、公休日等，支付日期顺延。</w:t>
      </w:r>
      <w:r>
        <w:rPr>
          <w:rFonts w:ascii="宋体" w:hAnsi="宋体" w:cs="宋体" w:hint="eastAsia"/>
          <w:sz w:val="24"/>
          <w:highlight w:val="white"/>
          <w:lang w:eastAsia="zh-CN"/>
        </w:rPr>
        <w:t>费用自动扣划后，基金管理人应进行核对，如发现数据不符，及时联系基金托管人协商解决。</w:t>
      </w:r>
    </w:p>
    <w:p w:rsidR="00623BF7" w:rsidRPr="00623BF7" w:rsidP="00623BF7" w14:paraId="1B97580F" w14:textId="77777777">
      <w:pPr>
        <w:snapToGrid w:val="0"/>
        <w:ind w:firstLine="480"/>
        <w:rPr>
          <w:rFonts w:ascii="宋体" w:hAnsi="宋体" w:cs="宋体"/>
          <w:sz w:val="24"/>
          <w:lang w:eastAsia="zh-CN"/>
        </w:rPr>
      </w:pPr>
      <w:r w:rsidRPr="00623BF7">
        <w:rPr>
          <w:rFonts w:ascii="宋体" w:hAnsi="宋体" w:cs="宋体" w:hint="eastAsia"/>
          <w:sz w:val="24"/>
          <w:lang w:eastAsia="zh-CN"/>
        </w:rPr>
        <w:t>销售服务费每日计提，具体如下：</w:t>
      </w:r>
    </w:p>
    <w:p w:rsidR="00623BF7" w:rsidRPr="00623BF7" w:rsidP="00623BF7" w14:paraId="46C91FA1" w14:textId="77777777">
      <w:pPr>
        <w:snapToGrid w:val="0"/>
        <w:ind w:firstLine="480"/>
        <w:rPr>
          <w:rFonts w:ascii="宋体" w:hAnsi="宋体" w:cs="宋体"/>
          <w:sz w:val="24"/>
          <w:lang w:eastAsia="zh-CN"/>
        </w:rPr>
      </w:pPr>
      <w:r w:rsidRPr="00623BF7">
        <w:rPr>
          <w:rFonts w:ascii="宋体" w:hAnsi="宋体" w:cs="宋体" w:hint="eastAsia"/>
          <w:sz w:val="24"/>
          <w:lang w:eastAsia="zh-CN"/>
        </w:rPr>
        <w:t>（1）通过基金管理人或其基金销售子公司投资的C类基金份额</w:t>
      </w:r>
    </w:p>
    <w:p w:rsidR="00623BF7" w:rsidRPr="00623BF7" w:rsidP="00623BF7" w14:paraId="2CCF4FD6" w14:textId="77777777">
      <w:pPr>
        <w:snapToGrid w:val="0"/>
        <w:ind w:firstLine="480"/>
        <w:rPr>
          <w:rFonts w:ascii="宋体" w:hAnsi="宋体" w:cs="宋体"/>
          <w:sz w:val="24"/>
          <w:lang w:eastAsia="zh-CN"/>
        </w:rPr>
      </w:pPr>
      <w:r w:rsidRPr="00623BF7">
        <w:rPr>
          <w:rFonts w:ascii="宋体" w:hAnsi="宋体" w:cs="宋体" w:hint="eastAsia"/>
          <w:sz w:val="24"/>
          <w:lang w:eastAsia="zh-CN"/>
        </w:rPr>
        <w:t>对于基金份额计提的销售服务费，在投资者赎回基金份额或基金合同终止时，随赎回款（或清算款）一并返还给投资者。</w:t>
      </w:r>
    </w:p>
    <w:p w:rsidR="00623BF7" w:rsidRPr="00623BF7" w:rsidP="00623BF7" w14:paraId="2836913F" w14:textId="77777777">
      <w:pPr>
        <w:snapToGrid w:val="0"/>
        <w:ind w:firstLine="480"/>
        <w:rPr>
          <w:rFonts w:ascii="宋体" w:hAnsi="宋体" w:cs="宋体"/>
          <w:sz w:val="24"/>
          <w:lang w:eastAsia="zh-CN"/>
        </w:rPr>
      </w:pPr>
      <w:r w:rsidRPr="00623BF7">
        <w:rPr>
          <w:rFonts w:ascii="宋体" w:hAnsi="宋体" w:cs="宋体" w:hint="eastAsia"/>
          <w:sz w:val="24"/>
          <w:lang w:eastAsia="zh-CN"/>
        </w:rPr>
        <w:t>（2）通过其他销售机构投资的C类基金份额</w:t>
      </w:r>
    </w:p>
    <w:p w:rsidR="00623BF7" w:rsidRPr="00623BF7" w:rsidP="00623BF7" w14:paraId="506EE2D2" w14:textId="5F29F971">
      <w:pPr>
        <w:snapToGrid w:val="0"/>
        <w:ind w:firstLine="480"/>
        <w:rPr>
          <w:rFonts w:ascii="宋体" w:hAnsi="宋体" w:cs="宋体"/>
          <w:sz w:val="24"/>
          <w:lang w:eastAsia="zh-CN"/>
        </w:rPr>
      </w:pPr>
      <w:r w:rsidRPr="007815E7">
        <w:rPr>
          <w:rFonts w:ascii="宋体" w:hAnsi="宋体" w:cs="宋体" w:hint="eastAsia"/>
          <w:sz w:val="24"/>
          <w:lang w:eastAsia="zh-CN"/>
        </w:rPr>
        <w:t>对于投资者持续持有期限不超过一年（即365天，下同）的基金份额计提的销售服务费，自动在次月前5个工作日内、按照指定的账户路径进行资金支付，管理人无需再出具资金划拨指令。若遇法定节假日、公休日等，支付日期顺延。费用自动扣划后，管理人应进行核对，如发现数据不符，及时联系托管人协商解决。</w:t>
      </w:r>
    </w:p>
    <w:p w:rsidR="00623BF7" w:rsidRPr="00623BF7" w:rsidP="00623BF7" w14:paraId="49007053" w14:textId="68535989">
      <w:pPr>
        <w:snapToGrid w:val="0"/>
        <w:ind w:firstLine="480"/>
        <w:rPr>
          <w:rFonts w:ascii="宋体" w:hAnsi="宋体" w:cs="宋体"/>
          <w:sz w:val="24"/>
          <w:lang w:eastAsia="zh-CN"/>
        </w:rPr>
      </w:pPr>
      <w:r w:rsidRPr="00623BF7">
        <w:rPr>
          <w:rFonts w:ascii="宋体" w:hAnsi="宋体" w:cs="宋体" w:hint="eastAsia"/>
          <w:sz w:val="24"/>
          <w:lang w:eastAsia="zh-CN"/>
        </w:rPr>
        <w:t>对于持续持有期限超过一年的基金份额继续计提的销售服务费，在投资者赎回基金份额或基金合同终止时，随赎回款（或清算款）一并返还给投资者。</w:t>
      </w:r>
    </w:p>
    <w:p w:rsidR="00623BF7" w:rsidRPr="00623BF7" w:rsidP="00623BF7" w14:paraId="527645B5" w14:textId="30E1F86B">
      <w:pPr>
        <w:snapToGrid w:val="0"/>
        <w:ind w:firstLine="480"/>
        <w:rPr>
          <w:rFonts w:ascii="宋体" w:hAnsi="宋体" w:cs="宋体"/>
          <w:sz w:val="24"/>
          <w:lang w:eastAsia="zh-CN"/>
        </w:rPr>
      </w:pPr>
      <w:r w:rsidRPr="00623BF7">
        <w:rPr>
          <w:rFonts w:ascii="宋体" w:hAnsi="宋体" w:cs="宋体" w:hint="eastAsia"/>
          <w:sz w:val="24"/>
          <w:lang w:eastAsia="zh-CN"/>
        </w:rPr>
        <w:t>销售服务费计提后按规定收取或返还投资者的金额以登记机构的计算结果为准。</w:t>
      </w:r>
    </w:p>
    <w:p w:rsidR="00BC44E7" w14:paraId="3D2A425F" w14:textId="77777777">
      <w:pPr>
        <w:snapToGrid w:val="0"/>
        <w:ind w:firstLine="480"/>
        <w:rPr>
          <w:rFonts w:ascii="宋体" w:hAnsi="宋体" w:cs="宋体"/>
          <w:sz w:val="24"/>
          <w:lang w:eastAsia="zh-CN"/>
        </w:rPr>
      </w:pPr>
      <w:r>
        <w:rPr>
          <w:rFonts w:ascii="宋体" w:hAnsi="宋体" w:cs="宋体" w:hint="eastAsia"/>
          <w:sz w:val="24"/>
          <w:highlight w:val="white"/>
          <w:lang w:eastAsia="zh-CN"/>
        </w:rPr>
        <w:t>在首期支付基金管理费、销售服务费前，基金管理人应向基金托管人出具正式函件指定基金管理费、销售服务费的收款账户。基金管理人如需要变更此账户，应提前5个工作日向基金托管人出具书面的收款账户变更通知。</w:t>
      </w:r>
    </w:p>
    <w:p w:rsidR="00BC44E7" w14:paraId="194113BA" w14:textId="77777777">
      <w:pPr>
        <w:snapToGrid w:val="0"/>
        <w:ind w:firstLine="480"/>
        <w:rPr>
          <w:rFonts w:ascii="宋体" w:hAnsi="宋体" w:cs="宋体"/>
          <w:sz w:val="24"/>
          <w:lang w:eastAsia="zh-CN"/>
        </w:rPr>
      </w:pPr>
      <w:r>
        <w:rPr>
          <w:rFonts w:ascii="宋体" w:hAnsi="宋体" w:cs="宋体" w:hint="eastAsia"/>
          <w:sz w:val="24"/>
          <w:highlight w:val="white"/>
          <w:lang w:eastAsia="zh-CN"/>
        </w:rPr>
        <w:t>（七）违规处理方式</w:t>
      </w:r>
    </w:p>
    <w:p w:rsidR="00BC44E7" w14:paraId="709E788B" w14:textId="77777777">
      <w:pPr>
        <w:snapToGrid w:val="0"/>
        <w:ind w:firstLine="480"/>
        <w:rPr>
          <w:rFonts w:ascii="宋体" w:hAnsi="宋体" w:cs="宋体"/>
          <w:sz w:val="24"/>
          <w:lang w:eastAsia="zh-CN"/>
        </w:rPr>
      </w:pPr>
      <w:r>
        <w:rPr>
          <w:rFonts w:ascii="宋体" w:hAnsi="宋体" w:cs="宋体" w:hint="eastAsia"/>
          <w:sz w:val="24"/>
          <w:highlight w:val="white"/>
          <w:lang w:eastAsia="zh-CN"/>
        </w:rPr>
        <w:t>基金托管人发现基金管理人违反《基金法》、《基金合同》、《运作办法》及其他有关规定从基金财产中列支费用时，基金托管人可要求基金管理人予以说明解释，如基金管理人无正当理由，基金托管人可拒绝支付。</w:t>
      </w:r>
    </w:p>
    <w:p w:rsidR="00BC44E7" w14:paraId="0A83729F" w14:textId="77777777">
      <w:pPr>
        <w:snapToGrid w:val="0"/>
        <w:ind w:firstLine="480"/>
        <w:rPr>
          <w:rFonts w:ascii="宋体" w:hAnsi="宋体" w:cs="宋体"/>
          <w:sz w:val="24"/>
          <w:lang w:eastAsia="zh-CN"/>
        </w:rPr>
      </w:pPr>
      <w:r>
        <w:rPr>
          <w:rFonts w:ascii="宋体" w:hAnsi="宋体" w:cs="宋体" w:hint="eastAsia"/>
          <w:sz w:val="24"/>
          <w:highlight w:val="white"/>
          <w:lang w:eastAsia="zh-CN"/>
        </w:rPr>
        <w:t>（八）实施侧袋机制期间的基金费用</w:t>
      </w:r>
    </w:p>
    <w:p w:rsidR="00BC44E7" w14:paraId="6FD0F6A1" w14:textId="77777777">
      <w:pPr>
        <w:snapToGrid w:val="0"/>
        <w:ind w:firstLine="480"/>
        <w:rPr>
          <w:rFonts w:ascii="宋体" w:hAnsi="宋体" w:cs="宋体"/>
          <w:sz w:val="24"/>
          <w:lang w:eastAsia="zh-CN"/>
        </w:rPr>
      </w:pPr>
      <w:r>
        <w:rPr>
          <w:rFonts w:ascii="宋体" w:hAnsi="宋体" w:cs="宋体" w:hint="eastAsia"/>
          <w:sz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BC44E7" w14:paraId="3E927985" w14:textId="77777777">
      <w:pPr>
        <w:snapToGrid w:val="0"/>
        <w:ind w:firstLine="480"/>
        <w:rPr>
          <w:rFonts w:ascii="宋体" w:hAnsi="宋体" w:cs="宋体"/>
          <w:sz w:val="24"/>
          <w:lang w:eastAsia="zh-CN"/>
        </w:rPr>
      </w:pPr>
    </w:p>
    <w:p w:rsidR="00BC44E7" w14:paraId="144CC70D" w14:textId="77777777">
      <w:pPr>
        <w:snapToGrid w:val="0"/>
        <w:rPr>
          <w:rFonts w:ascii="宋体" w:hAnsi="宋体" w:cs="宋体"/>
          <w:sz w:val="24"/>
          <w:lang w:eastAsia="zh-CN"/>
        </w:rPr>
      </w:pPr>
    </w:p>
    <w:p w:rsidR="00BC44E7" w14:paraId="607CE821" w14:textId="77777777">
      <w:pPr>
        <w:pStyle w:val="21"/>
        <w:jc w:val="center"/>
        <w:rPr>
          <w:rFonts w:ascii="宋体" w:eastAsia="宋体" w:hAnsi="宋体" w:cs="宋体"/>
          <w:sz w:val="30"/>
          <w:lang w:eastAsia="zh-CN"/>
        </w:rPr>
      </w:pPr>
      <w:bookmarkStart w:id="90" w:name="_Toc68875914"/>
      <w:r>
        <w:rPr>
          <w:rFonts w:ascii="宋体" w:eastAsia="宋体" w:hAnsi="宋体" w:cs="宋体" w:hint="eastAsia"/>
          <w:sz w:val="30"/>
          <w:highlight w:val="white"/>
          <w:lang w:eastAsia="zh-CN"/>
        </w:rPr>
        <w:t>十二、基金份额持有人名册的保管</w:t>
      </w:r>
      <w:bookmarkEnd w:id="90"/>
    </w:p>
    <w:p w:rsidR="00BC44E7" w14:paraId="32E232D9" w14:textId="77777777">
      <w:pPr>
        <w:snapToGrid w:val="0"/>
        <w:ind w:firstLine="480"/>
        <w:rPr>
          <w:rFonts w:ascii="宋体" w:hAnsi="宋体" w:cs="宋体"/>
          <w:sz w:val="24"/>
          <w:lang w:eastAsia="zh-CN"/>
        </w:rPr>
      </w:pPr>
      <w:r>
        <w:rPr>
          <w:rFonts w:ascii="宋体" w:hAnsi="宋体" w:cs="宋体" w:hint="eastAsia"/>
          <w:sz w:val="24"/>
          <w:highlight w:val="white"/>
          <w:lang w:eastAsia="zh-CN"/>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Pr>
          <w:rFonts w:ascii="宋体" w:hAnsi="宋体" w:cs="宋体"/>
          <w:sz w:val="24"/>
          <w:highlight w:val="white"/>
          <w:lang w:eastAsia="zh-CN"/>
        </w:rPr>
        <w:t>20</w:t>
      </w:r>
      <w:r>
        <w:rPr>
          <w:rFonts w:ascii="宋体" w:hAnsi="宋体" w:cs="宋体" w:hint="eastAsia"/>
          <w:sz w:val="24"/>
          <w:highlight w:val="white"/>
          <w:lang w:eastAsia="zh-CN"/>
        </w:rPr>
        <w:t>年。如不能妥善保管，则按相关法规承担责任。</w:t>
      </w:r>
    </w:p>
    <w:p w:rsidR="00BC44E7" w14:paraId="2AC58826" w14:textId="77777777">
      <w:pPr>
        <w:snapToGrid w:val="0"/>
        <w:ind w:firstLine="480"/>
        <w:rPr>
          <w:rFonts w:ascii="宋体" w:hAnsi="宋体" w:cs="宋体"/>
          <w:sz w:val="24"/>
          <w:lang w:eastAsia="zh-CN"/>
        </w:rPr>
      </w:pPr>
      <w:r>
        <w:rPr>
          <w:rFonts w:ascii="宋体" w:hAnsi="宋体" w:cs="宋体"/>
          <w:sz w:val="24"/>
          <w:highlight w:val="white"/>
          <w:lang w:eastAsia="zh-CN"/>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BC44E7" w14:paraId="7704E10F" w14:textId="77777777">
      <w:pPr>
        <w:snapToGrid w:val="0"/>
        <w:ind w:firstLine="480"/>
        <w:rPr>
          <w:rFonts w:ascii="宋体" w:hAnsi="宋体" w:cs="宋体"/>
          <w:sz w:val="24"/>
          <w:lang w:eastAsia="zh-CN"/>
        </w:rPr>
      </w:pPr>
    </w:p>
    <w:p w:rsidR="00BC44E7" w14:paraId="113AF2B0" w14:textId="77777777">
      <w:pPr>
        <w:pStyle w:val="21"/>
        <w:jc w:val="center"/>
        <w:rPr>
          <w:rFonts w:ascii="宋体" w:eastAsia="宋体" w:hAnsi="宋体" w:cs="宋体"/>
          <w:sz w:val="30"/>
          <w:lang w:eastAsia="zh-CN"/>
        </w:rPr>
      </w:pPr>
      <w:bookmarkStart w:id="91" w:name="_Toc68875915"/>
      <w:r>
        <w:rPr>
          <w:rFonts w:ascii="宋体" w:eastAsia="宋体" w:hAnsi="宋体" w:cs="宋体" w:hint="eastAsia"/>
          <w:sz w:val="30"/>
          <w:highlight w:val="white"/>
          <w:lang w:eastAsia="zh-CN"/>
        </w:rPr>
        <w:t>十三、基金有关文件档案的保存</w:t>
      </w:r>
      <w:bookmarkEnd w:id="91"/>
    </w:p>
    <w:p w:rsidR="00BC44E7" w14:paraId="1D7D15B1"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（一）档案保存</w:t>
      </w:r>
    </w:p>
    <w:p w:rsidR="00BC44E7" w14:paraId="62B5F347"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20 年。</w:t>
      </w:r>
    </w:p>
    <w:p w:rsidR="00BC44E7" w14:paraId="7942CBAC"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（二）合同档案的建立</w:t>
      </w:r>
    </w:p>
    <w:p w:rsidR="00BC44E7" w14:paraId="128C805F"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1.基金管理人签署重大合同文本后，应及时将合同文本正本送达基金托管人处。</w:t>
      </w:r>
    </w:p>
    <w:p w:rsidR="00BC44E7" w14:paraId="33256BCB"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2.基金管理人应及时将与本基金账务处理、资金划拨等有关的合同、协议传真基金托管人。</w:t>
      </w:r>
    </w:p>
    <w:p w:rsidR="00BC44E7" w14:paraId="3DA515D3"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（三）变更与协助</w:t>
      </w:r>
    </w:p>
    <w:p w:rsidR="00BC44E7" w14:paraId="014319A5"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若基金管理人/基金托管人发生变更，未变更的一方有义务协助变更后的接任人接收相应文件。</w:t>
      </w:r>
    </w:p>
    <w:p w:rsidR="00BC44E7" w14:paraId="063B8831" w14:textId="77777777">
      <w:pPr>
        <w:snapToGrid w:val="0"/>
        <w:ind w:firstLine="480"/>
        <w:outlineLvl w:val="0"/>
        <w:rPr>
          <w:rFonts w:ascii="宋体" w:hAnsi="宋体" w:cs="宋体"/>
          <w:sz w:val="24"/>
          <w:lang w:eastAsia="zh-CN"/>
        </w:rPr>
      </w:pPr>
      <w:r>
        <w:rPr>
          <w:rFonts w:ascii="宋体" w:hAnsi="宋体" w:cs="宋体" w:hint="eastAsia"/>
          <w:sz w:val="24"/>
          <w:highlight w:val="white"/>
          <w:lang w:eastAsia="zh-CN"/>
        </w:rPr>
        <w:t>（四）基金管理人和基金托管人应按各自职责完整保存原始凭证、记账凭证、基金账册、交易记录和重要合同等，承担保密义务并保存至少20年。</w:t>
      </w:r>
    </w:p>
    <w:p w:rsidR="00BC44E7" w14:paraId="34E46A96" w14:textId="77777777">
      <w:pPr>
        <w:snapToGrid w:val="0"/>
        <w:rPr>
          <w:rFonts w:ascii="宋体" w:hAnsi="宋体" w:cs="宋体"/>
          <w:sz w:val="30"/>
          <w:szCs w:val="30"/>
          <w:lang w:eastAsia="zh-CN"/>
        </w:rPr>
      </w:pPr>
    </w:p>
    <w:p w:rsidR="00BC44E7" w14:paraId="39D9D6F7" w14:textId="77777777">
      <w:pPr>
        <w:pStyle w:val="21"/>
        <w:jc w:val="center"/>
        <w:rPr>
          <w:rFonts w:ascii="宋体" w:eastAsia="宋体" w:hAnsi="宋体" w:cs="宋体"/>
          <w:sz w:val="30"/>
          <w:lang w:eastAsia="zh-CN"/>
        </w:rPr>
      </w:pPr>
      <w:bookmarkStart w:id="92" w:name="_Toc68875916"/>
      <w:r>
        <w:rPr>
          <w:rFonts w:ascii="宋体" w:eastAsia="宋体" w:hAnsi="宋体" w:cs="宋体" w:hint="eastAsia"/>
          <w:sz w:val="30"/>
          <w:highlight w:val="white"/>
          <w:lang w:eastAsia="zh-CN"/>
        </w:rPr>
        <w:t>十四、基金管理人和基金托管人的更换</w:t>
      </w:r>
      <w:bookmarkEnd w:id="92"/>
    </w:p>
    <w:p w:rsidR="00BC44E7" w14:paraId="75188D71" w14:textId="77777777">
      <w:pPr>
        <w:snapToGrid w:val="0"/>
        <w:ind w:firstLine="480"/>
        <w:rPr>
          <w:rFonts w:ascii="宋体" w:hAnsi="宋体" w:cs="宋体"/>
          <w:sz w:val="24"/>
          <w:lang w:eastAsia="zh-CN"/>
        </w:rPr>
      </w:pPr>
      <w:r>
        <w:rPr>
          <w:rFonts w:ascii="宋体" w:hAnsi="宋体" w:cs="宋体" w:hint="eastAsia"/>
          <w:sz w:val="24"/>
          <w:highlight w:val="white"/>
          <w:lang w:eastAsia="zh-CN"/>
        </w:rPr>
        <w:t>（一）基金管理人职责终止的情形</w:t>
      </w:r>
    </w:p>
    <w:p w:rsidR="00BC44E7" w14:paraId="49F72A20" w14:textId="77777777">
      <w:pPr>
        <w:snapToGrid w:val="0"/>
        <w:ind w:firstLine="480"/>
        <w:rPr>
          <w:rFonts w:ascii="宋体" w:hAnsi="宋体" w:cs="宋体"/>
          <w:sz w:val="24"/>
          <w:lang w:eastAsia="zh-CN"/>
        </w:rPr>
      </w:pPr>
      <w:r>
        <w:rPr>
          <w:rFonts w:ascii="宋体" w:hAnsi="宋体" w:cs="宋体" w:hint="eastAsia"/>
          <w:sz w:val="24"/>
          <w:highlight w:val="white"/>
          <w:lang w:eastAsia="zh-CN"/>
        </w:rPr>
        <w:t>1.基金管理人职责终止的情形</w:t>
      </w:r>
    </w:p>
    <w:p w:rsidR="00BC44E7" w14:paraId="2A17F40E" w14:textId="77777777">
      <w:pPr>
        <w:snapToGrid w:val="0"/>
        <w:ind w:firstLine="480"/>
        <w:rPr>
          <w:rFonts w:ascii="宋体" w:hAnsi="宋体" w:cs="宋体"/>
          <w:sz w:val="24"/>
          <w:lang w:eastAsia="zh-CN"/>
        </w:rPr>
      </w:pPr>
      <w:r>
        <w:rPr>
          <w:rFonts w:ascii="宋体" w:hAnsi="宋体" w:cs="宋体" w:hint="eastAsia"/>
          <w:sz w:val="24"/>
          <w:highlight w:val="white"/>
          <w:lang w:eastAsia="zh-CN"/>
        </w:rPr>
        <w:t>有下列情形之一的，基金管理人职责终止：</w:t>
      </w:r>
    </w:p>
    <w:p w:rsidR="00BC44E7" w14:paraId="73FA7C2C" w14:textId="77777777">
      <w:pPr>
        <w:ind w:firstLine="480"/>
        <w:rPr>
          <w:lang w:eastAsia="zh-CN"/>
        </w:rPr>
      </w:pPr>
      <w:r>
        <w:rPr>
          <w:rFonts w:ascii="宋体" w:hAnsi="宋体" w:cs="宋体"/>
          <w:sz w:val="24"/>
          <w:highlight w:val="white"/>
          <w:lang w:eastAsia="zh-CN"/>
        </w:rPr>
        <w:t>（1）被依法取消基金管理资格；</w:t>
      </w:r>
    </w:p>
    <w:p w:rsidR="00BC44E7" w14:paraId="6B7AA1F0" w14:textId="77777777">
      <w:pPr>
        <w:ind w:firstLine="480"/>
        <w:rPr>
          <w:lang w:eastAsia="zh-CN"/>
        </w:rPr>
      </w:pPr>
      <w:r>
        <w:rPr>
          <w:rFonts w:ascii="宋体" w:hAnsi="宋体" w:cs="宋体"/>
          <w:sz w:val="24"/>
          <w:highlight w:val="white"/>
          <w:lang w:eastAsia="zh-CN"/>
        </w:rPr>
        <w:t>（2）被基金份额持有人大会解任；</w:t>
      </w:r>
    </w:p>
    <w:p w:rsidR="00BC44E7" w14:paraId="5AA35B10" w14:textId="77777777">
      <w:pPr>
        <w:ind w:firstLine="480"/>
        <w:rPr>
          <w:lang w:eastAsia="zh-CN"/>
        </w:rPr>
      </w:pPr>
      <w:r>
        <w:rPr>
          <w:rFonts w:ascii="宋体" w:hAnsi="宋体" w:cs="宋体"/>
          <w:sz w:val="24"/>
          <w:highlight w:val="white"/>
          <w:lang w:eastAsia="zh-CN"/>
        </w:rPr>
        <w:t>（3）依法解散、被依法撤销或被依法宣告破产；</w:t>
      </w:r>
    </w:p>
    <w:p w:rsidR="00BC44E7" w14:paraId="47E95DC9" w14:textId="77777777">
      <w:pPr>
        <w:ind w:firstLine="480"/>
        <w:rPr>
          <w:lang w:eastAsia="zh-CN"/>
        </w:rPr>
      </w:pPr>
      <w:r>
        <w:rPr>
          <w:rFonts w:ascii="宋体" w:hAnsi="宋体" w:cs="宋体"/>
          <w:sz w:val="24"/>
          <w:highlight w:val="white"/>
          <w:lang w:eastAsia="zh-CN"/>
        </w:rPr>
        <w:t>（4）法律法规及中国证监会规定的和《基金合同》约定的其他情形。</w:t>
      </w:r>
    </w:p>
    <w:p w:rsidR="00BC44E7" w14:paraId="5EBFD437" w14:textId="77777777">
      <w:pPr>
        <w:snapToGrid w:val="0"/>
        <w:ind w:firstLine="480"/>
        <w:rPr>
          <w:rFonts w:ascii="宋体" w:hAnsi="宋体" w:cs="宋体"/>
          <w:sz w:val="24"/>
          <w:lang w:eastAsia="zh-CN"/>
        </w:rPr>
      </w:pPr>
    </w:p>
    <w:p w:rsidR="00BC44E7" w14:paraId="003D26EA" w14:textId="77777777">
      <w:pPr>
        <w:snapToGrid w:val="0"/>
        <w:ind w:firstLine="480"/>
        <w:rPr>
          <w:rFonts w:ascii="宋体" w:hAnsi="宋体" w:cs="宋体"/>
          <w:sz w:val="24"/>
          <w:lang w:eastAsia="zh-CN"/>
        </w:rPr>
      </w:pPr>
      <w:r>
        <w:rPr>
          <w:rFonts w:ascii="宋体" w:hAnsi="宋体" w:cs="宋体" w:hint="eastAsia"/>
          <w:sz w:val="24"/>
          <w:highlight w:val="white"/>
          <w:lang w:eastAsia="zh-CN"/>
        </w:rPr>
        <w:t>2.基金管理人的更换程序</w:t>
      </w:r>
    </w:p>
    <w:p w:rsidR="00BC44E7" w14:paraId="450A85D2" w14:textId="77777777">
      <w:pPr>
        <w:snapToGrid w:val="0"/>
        <w:ind w:firstLine="480"/>
        <w:rPr>
          <w:rFonts w:ascii="宋体" w:hAnsi="宋体" w:cs="宋体"/>
          <w:sz w:val="24"/>
          <w:lang w:eastAsia="zh-CN"/>
        </w:rPr>
      </w:pPr>
      <w:r>
        <w:rPr>
          <w:rFonts w:ascii="宋体" w:hAnsi="宋体" w:cs="宋体" w:hint="eastAsia"/>
          <w:sz w:val="24"/>
          <w:highlight w:val="white"/>
          <w:lang w:eastAsia="zh-CN"/>
        </w:rPr>
        <w:t>更换基金管理人必须依照如下程序进行：</w:t>
      </w:r>
    </w:p>
    <w:p w:rsidR="00BC44E7" w14:paraId="3FBCA694" w14:textId="77777777">
      <w:pPr>
        <w:ind w:firstLine="480"/>
        <w:rPr>
          <w:lang w:eastAsia="zh-CN"/>
        </w:rPr>
      </w:pPr>
      <w:r>
        <w:rPr>
          <w:rFonts w:ascii="宋体" w:hAnsi="宋体" w:cs="宋体"/>
          <w:sz w:val="24"/>
          <w:highlight w:val="white"/>
          <w:lang w:eastAsia="zh-CN"/>
        </w:rPr>
        <w:t>（1）提名：新任基金管理人由基金托管人或由单独或合计持有10%以上（含10%）基金份额的基金份额持有人提名；</w:t>
      </w:r>
    </w:p>
    <w:p w:rsidR="00BC44E7" w14:paraId="434F4319" w14:textId="77777777">
      <w:pPr>
        <w:ind w:firstLine="480"/>
        <w:rPr>
          <w:lang w:eastAsia="zh-CN"/>
        </w:rPr>
      </w:pPr>
      <w:r>
        <w:rPr>
          <w:rFonts w:ascii="宋体" w:hAnsi="宋体" w:cs="宋体"/>
          <w:sz w:val="24"/>
          <w:highlight w:val="white"/>
          <w:lang w:eastAsia="zh-CN"/>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BC44E7" w14:paraId="52CDECEC" w14:textId="77777777">
      <w:pPr>
        <w:ind w:firstLine="480"/>
        <w:rPr>
          <w:lang w:eastAsia="zh-CN"/>
        </w:rPr>
      </w:pPr>
      <w:r>
        <w:rPr>
          <w:rFonts w:ascii="宋体" w:hAnsi="宋体" w:cs="宋体"/>
          <w:sz w:val="24"/>
          <w:highlight w:val="white"/>
          <w:lang w:eastAsia="zh-CN"/>
        </w:rPr>
        <w:t>（3）临时基金管理人：新任基金管理人产生之前，由中国证监会指定临时基金管理人；</w:t>
      </w:r>
    </w:p>
    <w:p w:rsidR="00BC44E7" w14:paraId="41070794" w14:textId="77777777">
      <w:pPr>
        <w:ind w:firstLine="480"/>
        <w:rPr>
          <w:lang w:eastAsia="zh-CN"/>
        </w:rPr>
      </w:pPr>
      <w:r>
        <w:rPr>
          <w:rFonts w:ascii="宋体" w:hAnsi="宋体" w:cs="宋体"/>
          <w:sz w:val="24"/>
          <w:highlight w:val="white"/>
          <w:lang w:eastAsia="zh-CN"/>
        </w:rPr>
        <w:t>（4）备案：基金份额持有人大会更换基金管理人的决议须报中国证监会备案；</w:t>
      </w:r>
    </w:p>
    <w:p w:rsidR="00BC44E7" w14:paraId="45BA9D8B" w14:textId="77777777">
      <w:pPr>
        <w:ind w:firstLine="480"/>
        <w:rPr>
          <w:lang w:eastAsia="zh-CN"/>
        </w:rPr>
      </w:pPr>
      <w:r>
        <w:rPr>
          <w:rFonts w:ascii="宋体" w:hAnsi="宋体" w:cs="宋体"/>
          <w:sz w:val="24"/>
          <w:highlight w:val="white"/>
          <w:lang w:eastAsia="zh-CN"/>
        </w:rPr>
        <w:t>（5）公告：基金管理人更换后，由基金托管人在更换基金管理人的基金份额持有人大会决议生效后2日内在规定媒介公告；</w:t>
      </w:r>
    </w:p>
    <w:p w:rsidR="00BC44E7" w14:paraId="233AC31A" w14:textId="77777777">
      <w:pPr>
        <w:ind w:firstLine="480"/>
        <w:rPr>
          <w:lang w:eastAsia="zh-CN"/>
        </w:rPr>
      </w:pPr>
      <w:r>
        <w:rPr>
          <w:rFonts w:ascii="宋体" w:hAnsi="宋体" w:cs="宋体"/>
          <w:sz w:val="24"/>
          <w:highlight w:val="white"/>
          <w:lang w:eastAsia="zh-CN"/>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BC44E7" w14:paraId="205B7B9D" w14:textId="77777777">
      <w:pPr>
        <w:ind w:firstLine="480"/>
        <w:rPr>
          <w:lang w:eastAsia="zh-CN"/>
        </w:rPr>
      </w:pPr>
      <w:r>
        <w:rPr>
          <w:rFonts w:ascii="宋体" w:hAnsi="宋体" w:cs="宋体"/>
          <w:sz w:val="24"/>
          <w:highlight w:val="white"/>
          <w:lang w:eastAsia="zh-CN"/>
        </w:rPr>
        <w:t>（7）审计：基金管理人职责终止的，应当按照法律法规规定聘请会计师事务所对基金财产进行审计，并将审计结果予以公告，同时报中国证监会备案。审计费用从基金财产中列支；</w:t>
      </w:r>
    </w:p>
    <w:p w:rsidR="00BC44E7" w14:paraId="70A1EE3B" w14:textId="77777777">
      <w:pPr>
        <w:ind w:firstLine="480"/>
        <w:rPr>
          <w:lang w:eastAsia="zh-CN"/>
        </w:rPr>
      </w:pPr>
      <w:r>
        <w:rPr>
          <w:rFonts w:ascii="宋体" w:hAnsi="宋体" w:cs="宋体"/>
          <w:sz w:val="24"/>
          <w:highlight w:val="white"/>
          <w:lang w:eastAsia="zh-CN"/>
        </w:rPr>
        <w:t>（8）基金名称变更：基金管理人更换后，如果原任或新任基金管理人要求，应按其要求替换或删除基金名称中与原基金管理人有关的名称字样。</w:t>
      </w:r>
    </w:p>
    <w:p w:rsidR="00BC44E7" w14:paraId="0F3D301E" w14:textId="77777777">
      <w:pPr>
        <w:snapToGrid w:val="0"/>
        <w:ind w:firstLine="480"/>
        <w:rPr>
          <w:rFonts w:ascii="宋体" w:hAnsi="宋体" w:cs="宋体"/>
          <w:sz w:val="24"/>
          <w:lang w:eastAsia="zh-CN"/>
        </w:rPr>
      </w:pPr>
    </w:p>
    <w:p w:rsidR="00BC44E7" w14:paraId="396BAAEB" w14:textId="77777777">
      <w:pPr>
        <w:snapToGrid w:val="0"/>
        <w:ind w:firstLine="480"/>
        <w:rPr>
          <w:rFonts w:ascii="宋体" w:hAnsi="宋体" w:cs="宋体"/>
          <w:sz w:val="24"/>
          <w:lang w:eastAsia="zh-CN"/>
        </w:rPr>
      </w:pPr>
      <w:r>
        <w:rPr>
          <w:rFonts w:ascii="宋体" w:hAnsi="宋体" w:cs="宋体" w:hint="eastAsia"/>
          <w:sz w:val="24"/>
          <w:highlight w:val="white"/>
          <w:lang w:eastAsia="zh-CN"/>
        </w:rPr>
        <w:t>（二）基金托管人职责终止的情形</w:t>
      </w:r>
    </w:p>
    <w:p w:rsidR="00BC44E7" w14:paraId="7288BFCD" w14:textId="77777777">
      <w:pPr>
        <w:snapToGrid w:val="0"/>
        <w:ind w:firstLine="480"/>
        <w:rPr>
          <w:rFonts w:ascii="宋体" w:hAnsi="宋体" w:cs="宋体"/>
          <w:sz w:val="24"/>
          <w:lang w:eastAsia="zh-CN"/>
        </w:rPr>
      </w:pPr>
      <w:r>
        <w:rPr>
          <w:rFonts w:ascii="宋体" w:hAnsi="宋体" w:cs="宋体" w:hint="eastAsia"/>
          <w:sz w:val="24"/>
          <w:highlight w:val="white"/>
          <w:lang w:eastAsia="zh-CN"/>
        </w:rPr>
        <w:t>1.基金托管人职责终止的情形</w:t>
      </w:r>
    </w:p>
    <w:p w:rsidR="00BC44E7" w14:paraId="033311CA" w14:textId="77777777">
      <w:pPr>
        <w:snapToGrid w:val="0"/>
        <w:ind w:firstLine="480"/>
        <w:rPr>
          <w:rFonts w:ascii="宋体" w:hAnsi="宋体" w:cs="宋体"/>
          <w:sz w:val="24"/>
          <w:lang w:eastAsia="zh-CN"/>
        </w:rPr>
      </w:pPr>
      <w:r>
        <w:rPr>
          <w:rFonts w:ascii="宋体" w:hAnsi="宋体" w:cs="宋体" w:hint="eastAsia"/>
          <w:sz w:val="24"/>
          <w:highlight w:val="white"/>
          <w:lang w:eastAsia="zh-CN"/>
        </w:rPr>
        <w:t>有下列情形之一的，基金托管人职责终止：</w:t>
      </w:r>
    </w:p>
    <w:p w:rsidR="00BC44E7" w14:paraId="593E1EAA" w14:textId="77777777">
      <w:pPr>
        <w:ind w:firstLine="480"/>
        <w:rPr>
          <w:lang w:eastAsia="zh-CN"/>
        </w:rPr>
      </w:pPr>
      <w:r>
        <w:rPr>
          <w:rFonts w:ascii="宋体" w:hAnsi="宋体" w:cs="宋体"/>
          <w:sz w:val="24"/>
          <w:highlight w:val="white"/>
          <w:lang w:eastAsia="zh-CN"/>
        </w:rPr>
        <w:t>（1）被依法取消基金托管资格；</w:t>
      </w:r>
    </w:p>
    <w:p w:rsidR="00BC44E7" w14:paraId="3F2B4703" w14:textId="77777777">
      <w:pPr>
        <w:ind w:firstLine="480"/>
        <w:rPr>
          <w:lang w:eastAsia="zh-CN"/>
        </w:rPr>
      </w:pPr>
      <w:r>
        <w:rPr>
          <w:rFonts w:ascii="宋体" w:hAnsi="宋体" w:cs="宋体"/>
          <w:sz w:val="24"/>
          <w:highlight w:val="white"/>
          <w:lang w:eastAsia="zh-CN"/>
        </w:rPr>
        <w:t>（2）被基金份额持有人大会解任；</w:t>
      </w:r>
    </w:p>
    <w:p w:rsidR="00BC44E7" w14:paraId="7A50141B" w14:textId="77777777">
      <w:pPr>
        <w:ind w:firstLine="480"/>
        <w:rPr>
          <w:lang w:eastAsia="zh-CN"/>
        </w:rPr>
      </w:pPr>
      <w:r>
        <w:rPr>
          <w:rFonts w:ascii="宋体" w:hAnsi="宋体" w:cs="宋体"/>
          <w:sz w:val="24"/>
          <w:highlight w:val="white"/>
          <w:lang w:eastAsia="zh-CN"/>
        </w:rPr>
        <w:t>（3）依法解散、被依法撤销或被依法宣告破产；</w:t>
      </w:r>
    </w:p>
    <w:p w:rsidR="00BC44E7" w14:paraId="6D203DBA" w14:textId="77777777">
      <w:pPr>
        <w:ind w:firstLine="480"/>
        <w:rPr>
          <w:lang w:eastAsia="zh-CN"/>
        </w:rPr>
      </w:pPr>
      <w:r>
        <w:rPr>
          <w:rFonts w:ascii="宋体" w:hAnsi="宋体" w:cs="宋体"/>
          <w:sz w:val="24"/>
          <w:highlight w:val="white"/>
          <w:lang w:eastAsia="zh-CN"/>
        </w:rPr>
        <w:t>（4）法律法规及中国证监会规定的和《基金合同》约定的其他情形。</w:t>
      </w:r>
    </w:p>
    <w:p w:rsidR="00BC44E7" w14:paraId="08ECF465" w14:textId="77777777">
      <w:pPr>
        <w:snapToGrid w:val="0"/>
        <w:ind w:firstLine="480"/>
        <w:rPr>
          <w:rFonts w:ascii="宋体" w:hAnsi="宋体" w:cs="宋体"/>
          <w:sz w:val="24"/>
          <w:lang w:eastAsia="zh-CN"/>
        </w:rPr>
      </w:pPr>
    </w:p>
    <w:p w:rsidR="00BC44E7" w14:paraId="056888DB" w14:textId="77777777">
      <w:pPr>
        <w:snapToGrid w:val="0"/>
        <w:ind w:firstLine="480"/>
        <w:rPr>
          <w:rFonts w:ascii="宋体" w:hAnsi="宋体" w:cs="宋体"/>
          <w:sz w:val="24"/>
          <w:lang w:eastAsia="zh-CN"/>
        </w:rPr>
      </w:pPr>
      <w:r>
        <w:rPr>
          <w:rFonts w:ascii="宋体" w:hAnsi="宋体" w:cs="宋体" w:hint="eastAsia"/>
          <w:sz w:val="24"/>
          <w:highlight w:val="white"/>
          <w:lang w:eastAsia="zh-CN"/>
        </w:rPr>
        <w:t>2.基金托管人的更换程序</w:t>
      </w:r>
    </w:p>
    <w:p w:rsidR="00BC44E7" w14:paraId="1656FBF3" w14:textId="77777777">
      <w:pPr>
        <w:ind w:firstLine="480"/>
        <w:rPr>
          <w:lang w:eastAsia="zh-CN"/>
        </w:rPr>
      </w:pPr>
      <w:r>
        <w:rPr>
          <w:rFonts w:ascii="宋体" w:hAnsi="宋体" w:cs="宋体"/>
          <w:sz w:val="24"/>
          <w:highlight w:val="white"/>
          <w:lang w:eastAsia="zh-CN"/>
        </w:rPr>
        <w:t>（1）提名：新任基金托管人由基金管理人或由单独或合计持有10%以上（含10%）基金份额的基金份额持有人提名；</w:t>
      </w:r>
    </w:p>
    <w:p w:rsidR="00BC44E7" w14:paraId="220C4A35" w14:textId="77777777">
      <w:pPr>
        <w:ind w:firstLine="480"/>
        <w:rPr>
          <w:lang w:eastAsia="zh-CN"/>
        </w:rPr>
      </w:pPr>
      <w:r>
        <w:rPr>
          <w:rFonts w:ascii="宋体" w:hAnsi="宋体" w:cs="宋体"/>
          <w:sz w:val="24"/>
          <w:highlight w:val="white"/>
          <w:lang w:eastAsia="zh-CN"/>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BC44E7" w14:paraId="4C879E2F" w14:textId="77777777">
      <w:pPr>
        <w:ind w:firstLine="480"/>
        <w:rPr>
          <w:lang w:eastAsia="zh-CN"/>
        </w:rPr>
      </w:pPr>
      <w:r>
        <w:rPr>
          <w:rFonts w:ascii="宋体" w:hAnsi="宋体" w:cs="宋体"/>
          <w:sz w:val="24"/>
          <w:highlight w:val="white"/>
          <w:lang w:eastAsia="zh-CN"/>
        </w:rPr>
        <w:t>（3）临时基金托管人：新任基金托管人产生之前，由中国证监会指定临时基金托管人；</w:t>
      </w:r>
    </w:p>
    <w:p w:rsidR="00BC44E7" w14:paraId="09CC3D21" w14:textId="77777777">
      <w:pPr>
        <w:ind w:firstLine="480"/>
        <w:rPr>
          <w:lang w:eastAsia="zh-CN"/>
        </w:rPr>
      </w:pPr>
      <w:r>
        <w:rPr>
          <w:rFonts w:ascii="宋体" w:hAnsi="宋体" w:cs="宋体"/>
          <w:sz w:val="24"/>
          <w:highlight w:val="white"/>
          <w:lang w:eastAsia="zh-CN"/>
        </w:rPr>
        <w:t>（4）备案：基金份额持有人大会更换基金托管人的决议须报中国证监会备案；</w:t>
      </w:r>
    </w:p>
    <w:p w:rsidR="00BC44E7" w14:paraId="7B51DC79" w14:textId="77777777">
      <w:pPr>
        <w:ind w:firstLine="480"/>
        <w:rPr>
          <w:lang w:eastAsia="zh-CN"/>
        </w:rPr>
      </w:pPr>
      <w:r>
        <w:rPr>
          <w:rFonts w:ascii="宋体" w:hAnsi="宋体" w:cs="宋体"/>
          <w:sz w:val="24"/>
          <w:highlight w:val="white"/>
          <w:lang w:eastAsia="zh-CN"/>
        </w:rPr>
        <w:t>（5）公告：基金托管人更换后，由基金管理人在更换基金托管人的基金份额持有人大会决议生效后2日内在规定媒介公告；</w:t>
      </w:r>
    </w:p>
    <w:p w:rsidR="00BC44E7" w14:paraId="0E8404B9" w14:textId="77777777">
      <w:pPr>
        <w:ind w:firstLine="480"/>
        <w:rPr>
          <w:lang w:eastAsia="zh-CN"/>
        </w:rPr>
      </w:pPr>
      <w:r>
        <w:rPr>
          <w:rFonts w:ascii="宋体" w:hAnsi="宋体" w:cs="宋体"/>
          <w:sz w:val="24"/>
          <w:highlight w:val="white"/>
          <w:lang w:eastAsia="zh-CN"/>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BC44E7" w14:paraId="79B5DCEF" w14:textId="77777777">
      <w:pPr>
        <w:ind w:firstLine="480"/>
        <w:rPr>
          <w:lang w:eastAsia="zh-CN"/>
        </w:rPr>
      </w:pPr>
      <w:r>
        <w:rPr>
          <w:rFonts w:ascii="宋体" w:hAnsi="宋体" w:cs="宋体"/>
          <w:sz w:val="24"/>
          <w:highlight w:val="white"/>
          <w:lang w:eastAsia="zh-CN"/>
        </w:rPr>
        <w:t>（7）审计：基金托管人职责终止的，应当按照法律法规规定聘请会计师事务所对基金财产进行审计，并将审计结果予以公告，同时报中国证监会备案。审计费用从基金财产中列支。</w:t>
      </w:r>
    </w:p>
    <w:p w:rsidR="00BC44E7" w14:paraId="50E9B1B6" w14:textId="77777777">
      <w:pPr>
        <w:snapToGrid w:val="0"/>
        <w:ind w:firstLine="480"/>
        <w:rPr>
          <w:rFonts w:ascii="宋体" w:hAnsi="宋体" w:cs="宋体"/>
          <w:sz w:val="24"/>
          <w:lang w:eastAsia="zh-CN"/>
        </w:rPr>
      </w:pPr>
      <w:r>
        <w:rPr>
          <w:rFonts w:ascii="宋体" w:hAnsi="宋体" w:cs="宋体" w:hint="eastAsia"/>
          <w:sz w:val="24"/>
          <w:highlight w:val="white"/>
          <w:lang w:eastAsia="zh-CN"/>
        </w:rPr>
        <w:t>（三）基金管理人与基金托管人同时更换的条件和程序</w:t>
      </w:r>
    </w:p>
    <w:p w:rsidR="00BC44E7" w14:paraId="30537ABF" w14:textId="64205C11">
      <w:pPr>
        <w:snapToGrid w:val="0"/>
        <w:ind w:firstLine="480"/>
        <w:rPr>
          <w:rFonts w:ascii="宋体" w:hAnsi="宋体" w:cs="宋体"/>
          <w:sz w:val="24"/>
          <w:lang w:eastAsia="zh-CN"/>
        </w:rPr>
      </w:pPr>
      <w:r>
        <w:rPr>
          <w:rFonts w:ascii="宋体" w:hAnsi="宋体" w:cs="宋体" w:hint="eastAsia"/>
          <w:sz w:val="24"/>
          <w:highlight w:val="white"/>
          <w:lang w:eastAsia="zh-CN"/>
        </w:rPr>
        <w:t>1</w:t>
      </w:r>
      <w:r w:rsidR="00A74314">
        <w:rPr>
          <w:rFonts w:ascii="宋体" w:hAnsi="宋体" w:cs="宋体" w:hint="eastAsia"/>
          <w:sz w:val="24"/>
          <w:highlight w:val="white"/>
          <w:lang w:eastAsia="zh-CN"/>
        </w:rPr>
        <w:t>.</w:t>
      </w:r>
      <w:r>
        <w:rPr>
          <w:rFonts w:ascii="宋体" w:hAnsi="宋体" w:cs="宋体" w:hint="eastAsia"/>
          <w:sz w:val="24"/>
          <w:highlight w:val="white"/>
          <w:lang w:eastAsia="zh-CN"/>
        </w:rPr>
        <w:t>提名：如果基金管理人和基金托管人同时更换，由单独或合计持有基金总份额10%以上（含10%）的基金份额持有人提名新的基金管理人和基金托管人；</w:t>
      </w:r>
    </w:p>
    <w:p w:rsidR="00BC44E7" w14:paraId="0D98ACE2" w14:textId="723C87C2">
      <w:pPr>
        <w:snapToGrid w:val="0"/>
        <w:ind w:firstLine="480"/>
        <w:rPr>
          <w:rFonts w:ascii="宋体" w:hAnsi="宋体" w:cs="宋体"/>
          <w:sz w:val="24"/>
          <w:lang w:eastAsia="zh-CN"/>
        </w:rPr>
      </w:pPr>
      <w:r>
        <w:rPr>
          <w:rFonts w:ascii="宋体" w:hAnsi="宋体" w:cs="宋体" w:hint="eastAsia"/>
          <w:sz w:val="24"/>
          <w:highlight w:val="white"/>
          <w:lang w:eastAsia="zh-CN"/>
        </w:rPr>
        <w:t>2</w:t>
      </w:r>
      <w:r w:rsidR="00A74314">
        <w:rPr>
          <w:rFonts w:ascii="宋体" w:hAnsi="宋体" w:cs="宋体" w:hint="eastAsia"/>
          <w:sz w:val="24"/>
          <w:highlight w:val="white"/>
          <w:lang w:eastAsia="zh-CN"/>
        </w:rPr>
        <w:t>.</w:t>
      </w:r>
      <w:r>
        <w:rPr>
          <w:rFonts w:ascii="宋体" w:hAnsi="宋体" w:cs="宋体" w:hint="eastAsia"/>
          <w:sz w:val="24"/>
          <w:highlight w:val="white"/>
          <w:lang w:eastAsia="zh-CN"/>
        </w:rPr>
        <w:t>基金管理人和基金托管人的更换分别按上述程序进行；</w:t>
      </w:r>
    </w:p>
    <w:p w:rsidR="00BC44E7" w14:paraId="352D161F" w14:textId="7EA4B6C7">
      <w:pPr>
        <w:snapToGrid w:val="0"/>
        <w:ind w:firstLine="480"/>
        <w:rPr>
          <w:rFonts w:ascii="宋体" w:hAnsi="宋体" w:cs="宋体"/>
          <w:sz w:val="24"/>
          <w:lang w:eastAsia="zh-CN"/>
        </w:rPr>
      </w:pPr>
      <w:r>
        <w:rPr>
          <w:rFonts w:ascii="宋体" w:hAnsi="宋体" w:cs="宋体" w:hint="eastAsia"/>
          <w:sz w:val="24"/>
          <w:highlight w:val="white"/>
          <w:lang w:eastAsia="zh-CN"/>
        </w:rPr>
        <w:t>3</w:t>
      </w:r>
      <w:r w:rsidR="00A74314">
        <w:rPr>
          <w:rFonts w:ascii="宋体" w:hAnsi="宋体" w:cs="宋体" w:hint="eastAsia"/>
          <w:sz w:val="24"/>
          <w:highlight w:val="white"/>
          <w:lang w:eastAsia="zh-CN"/>
        </w:rPr>
        <w:t>.</w:t>
      </w:r>
      <w:r>
        <w:rPr>
          <w:rFonts w:ascii="宋体" w:hAnsi="宋体" w:cs="宋体" w:hint="eastAsia"/>
          <w:sz w:val="24"/>
          <w:highlight w:val="white"/>
          <w:lang w:eastAsia="zh-CN"/>
        </w:rPr>
        <w:t>公告：新任基金管理人和新任基金托管人应在更换基金管理人和基金托管人的基金份额持有人大会决议生效后2日内在规定媒介上联合公告。</w:t>
      </w:r>
    </w:p>
    <w:p w:rsidR="00BC44E7" w14:paraId="1DB669B2" w14:textId="77777777">
      <w:pPr>
        <w:snapToGrid w:val="0"/>
        <w:ind w:firstLine="480"/>
        <w:rPr>
          <w:rFonts w:ascii="宋体" w:hAnsi="宋体" w:cs="宋体"/>
          <w:sz w:val="24"/>
          <w:lang w:eastAsia="zh-CN"/>
        </w:rPr>
      </w:pPr>
      <w:r>
        <w:rPr>
          <w:rFonts w:ascii="宋体" w:hAnsi="宋体" w:cs="宋体" w:hint="eastAsia"/>
          <w:sz w:val="24"/>
          <w:highlight w:val="white"/>
          <w:lang w:eastAsia="zh-CN"/>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BC44E7" w14:paraId="7A01A19C" w14:textId="77777777">
      <w:pPr>
        <w:snapToGrid w:val="0"/>
        <w:rPr>
          <w:rFonts w:ascii="宋体" w:hAnsi="宋体" w:cs="宋体"/>
          <w:sz w:val="24"/>
          <w:lang w:eastAsia="zh-CN"/>
        </w:rPr>
      </w:pPr>
    </w:p>
    <w:p w:rsidR="00BC44E7" w14:paraId="2BA1D69C" w14:textId="77777777">
      <w:pPr>
        <w:pStyle w:val="21"/>
        <w:jc w:val="center"/>
        <w:rPr>
          <w:rFonts w:ascii="宋体" w:eastAsia="宋体" w:hAnsi="宋体" w:cs="宋体"/>
          <w:sz w:val="30"/>
          <w:lang w:eastAsia="zh-CN"/>
        </w:rPr>
      </w:pPr>
      <w:bookmarkStart w:id="93" w:name="_Toc68875917"/>
      <w:r>
        <w:rPr>
          <w:rFonts w:ascii="宋体" w:eastAsia="宋体" w:hAnsi="宋体" w:cs="宋体" w:hint="eastAsia"/>
          <w:sz w:val="30"/>
          <w:highlight w:val="white"/>
          <w:lang w:eastAsia="zh-CN"/>
        </w:rPr>
        <w:t>十五、禁止行为</w:t>
      </w:r>
      <w:bookmarkEnd w:id="93"/>
    </w:p>
    <w:p w:rsidR="00BC44E7" w14:paraId="7AB2D8BD" w14:textId="77777777">
      <w:pPr>
        <w:snapToGrid w:val="0"/>
        <w:ind w:firstLine="480"/>
        <w:rPr>
          <w:rFonts w:ascii="宋体" w:hAnsi="宋体" w:cs="宋体"/>
          <w:sz w:val="24"/>
          <w:lang w:eastAsia="zh-CN"/>
        </w:rPr>
      </w:pPr>
      <w:r>
        <w:rPr>
          <w:rFonts w:ascii="宋体" w:hAnsi="宋体" w:cs="宋体" w:hint="eastAsia"/>
          <w:sz w:val="24"/>
          <w:highlight w:val="white"/>
          <w:lang w:eastAsia="zh-CN"/>
        </w:rPr>
        <w:t>本协议当事人禁止从事的行为，包括但不限于：</w:t>
      </w:r>
    </w:p>
    <w:p w:rsidR="00BC44E7" w14:paraId="3A31C219" w14:textId="77777777">
      <w:pPr>
        <w:snapToGrid w:val="0"/>
        <w:ind w:firstLine="480"/>
        <w:rPr>
          <w:rFonts w:ascii="宋体" w:hAnsi="宋体" w:cs="宋体"/>
          <w:sz w:val="24"/>
          <w:lang w:eastAsia="zh-CN"/>
        </w:rPr>
      </w:pPr>
      <w:r>
        <w:rPr>
          <w:rFonts w:ascii="宋体" w:hAnsi="宋体" w:cs="宋体" w:hint="eastAsia"/>
          <w:sz w:val="24"/>
          <w:highlight w:val="white"/>
          <w:lang w:eastAsia="zh-CN"/>
        </w:rPr>
        <w:t>（一）基金管理人、基金托管人将其固有财产或者他人财产混同于基金财产从事证券投资。</w:t>
      </w:r>
    </w:p>
    <w:p w:rsidR="00BC44E7" w14:paraId="21F0013D" w14:textId="77777777">
      <w:pPr>
        <w:snapToGrid w:val="0"/>
        <w:ind w:firstLine="480"/>
        <w:rPr>
          <w:rFonts w:ascii="宋体" w:hAnsi="宋体" w:cs="宋体"/>
          <w:sz w:val="24"/>
          <w:lang w:eastAsia="zh-CN"/>
        </w:rPr>
      </w:pPr>
      <w:r>
        <w:rPr>
          <w:rFonts w:ascii="宋体" w:hAnsi="宋体" w:cs="宋体" w:hint="eastAsia"/>
          <w:sz w:val="24"/>
          <w:highlight w:val="white"/>
          <w:lang w:eastAsia="zh-CN"/>
        </w:rPr>
        <w:t>（二）基金管理人不公平地对待其管理的不同基金财产，基金托管人不公平地对待其托管的不同基金财产。</w:t>
      </w:r>
    </w:p>
    <w:p w:rsidR="00BC44E7" w14:paraId="0F6C57EE" w14:textId="77777777">
      <w:pPr>
        <w:snapToGrid w:val="0"/>
        <w:ind w:firstLine="480"/>
        <w:rPr>
          <w:rFonts w:ascii="宋体" w:hAnsi="宋体" w:cs="宋体"/>
          <w:sz w:val="24"/>
          <w:lang w:eastAsia="zh-CN"/>
        </w:rPr>
      </w:pPr>
      <w:r>
        <w:rPr>
          <w:rFonts w:ascii="宋体" w:hAnsi="宋体" w:cs="宋体" w:hint="eastAsia"/>
          <w:sz w:val="24"/>
          <w:highlight w:val="white"/>
          <w:lang w:eastAsia="zh-CN"/>
        </w:rPr>
        <w:t>（三）基金管理人、基金托管人利用基金财产为基金份额持有人以外的第三人牟取利益。</w:t>
      </w:r>
    </w:p>
    <w:p w:rsidR="00BC44E7" w14:paraId="4A7605F9" w14:textId="77777777">
      <w:pPr>
        <w:snapToGrid w:val="0"/>
        <w:ind w:firstLine="480"/>
        <w:rPr>
          <w:rFonts w:ascii="宋体" w:hAnsi="宋体" w:cs="宋体"/>
          <w:sz w:val="24"/>
          <w:lang w:eastAsia="zh-CN"/>
        </w:rPr>
      </w:pPr>
      <w:r>
        <w:rPr>
          <w:rFonts w:ascii="宋体" w:hAnsi="宋体" w:cs="宋体" w:hint="eastAsia"/>
          <w:sz w:val="24"/>
          <w:highlight w:val="white"/>
          <w:lang w:eastAsia="zh-CN"/>
        </w:rPr>
        <w:t>（四）基金管理人、基金托管人向基金份额持有人违规承诺收益或者承担损失。</w:t>
      </w:r>
    </w:p>
    <w:p w:rsidR="00BC44E7" w14:paraId="2CD00A5C" w14:textId="2096A43D">
      <w:pPr>
        <w:snapToGrid w:val="0"/>
        <w:ind w:firstLine="480"/>
        <w:rPr>
          <w:rFonts w:ascii="宋体" w:hAnsi="宋体" w:cs="宋体"/>
          <w:sz w:val="24"/>
          <w:lang w:eastAsia="zh-CN"/>
        </w:rPr>
      </w:pPr>
      <w:r>
        <w:rPr>
          <w:rFonts w:ascii="宋体" w:hAnsi="宋体" w:cs="宋体" w:hint="eastAsia"/>
          <w:sz w:val="24"/>
          <w:highlight w:val="white"/>
          <w:lang w:eastAsia="zh-CN"/>
        </w:rPr>
        <w:t>（五）基金管理人、基金托管人对他人泄</w:t>
      </w:r>
      <w:r w:rsidR="001F719D">
        <w:rPr>
          <w:rFonts w:ascii="宋体" w:hAnsi="宋体" w:cs="宋体" w:hint="eastAsia"/>
          <w:sz w:val="24"/>
          <w:highlight w:val="white"/>
          <w:lang w:eastAsia="zh-CN"/>
        </w:rPr>
        <w:t>露</w:t>
      </w:r>
      <w:r>
        <w:rPr>
          <w:rFonts w:ascii="宋体" w:hAnsi="宋体" w:cs="宋体" w:hint="eastAsia"/>
          <w:sz w:val="24"/>
          <w:highlight w:val="white"/>
          <w:lang w:eastAsia="zh-CN"/>
        </w:rPr>
        <w:t>基金运作和管理过程中任何尚未按法律法规规定的方式公开披露的信息。</w:t>
      </w:r>
    </w:p>
    <w:p w:rsidR="00BC44E7" w14:paraId="442A2A49" w14:textId="77777777">
      <w:pPr>
        <w:snapToGrid w:val="0"/>
        <w:ind w:firstLine="480"/>
        <w:rPr>
          <w:rFonts w:ascii="宋体" w:hAnsi="宋体" w:cs="宋体"/>
          <w:sz w:val="24"/>
          <w:lang w:eastAsia="zh-CN"/>
        </w:rPr>
      </w:pPr>
      <w:r>
        <w:rPr>
          <w:rFonts w:ascii="宋体" w:hAnsi="宋体" w:cs="宋体" w:hint="eastAsia"/>
          <w:sz w:val="24"/>
          <w:highlight w:val="white"/>
          <w:lang w:eastAsia="zh-CN"/>
        </w:rPr>
        <w:t>（六）基金管理人在没有充足资金的情况下向基金托管人发出投资指令和赎回、分红资金的划拨指令，或违规向基金托管人发出指令。</w:t>
      </w:r>
    </w:p>
    <w:p w:rsidR="00BC44E7" w14:paraId="20A51B92" w14:textId="77777777">
      <w:pPr>
        <w:snapToGrid w:val="0"/>
        <w:ind w:firstLine="480"/>
        <w:rPr>
          <w:rFonts w:ascii="宋体" w:hAnsi="宋体" w:cs="宋体"/>
          <w:sz w:val="24"/>
          <w:lang w:eastAsia="zh-CN"/>
        </w:rPr>
      </w:pPr>
      <w:r>
        <w:rPr>
          <w:rFonts w:ascii="宋体" w:hAnsi="宋体" w:cs="宋体" w:hint="eastAsia"/>
          <w:sz w:val="24"/>
          <w:highlight w:val="white"/>
          <w:lang w:eastAsia="zh-CN"/>
        </w:rPr>
        <w:t>（七）基金管理人、基金托管人在行政上、财务上不独立, 其高级管理人员和其他从业人员相互兼职。</w:t>
      </w:r>
    </w:p>
    <w:p w:rsidR="00BC44E7" w14:paraId="791F7CD6" w14:textId="77777777">
      <w:pPr>
        <w:snapToGrid w:val="0"/>
        <w:ind w:firstLine="480"/>
        <w:rPr>
          <w:rFonts w:ascii="宋体" w:hAnsi="宋体" w:cs="宋体"/>
          <w:sz w:val="24"/>
          <w:lang w:eastAsia="zh-CN"/>
        </w:rPr>
      </w:pPr>
      <w:r>
        <w:rPr>
          <w:rFonts w:ascii="宋体" w:hAnsi="宋体" w:cs="宋体" w:hint="eastAsia"/>
          <w:sz w:val="24"/>
          <w:highlight w:val="white"/>
          <w:lang w:eastAsia="zh-CN"/>
        </w:rPr>
        <w:t>（八）基金托管人私自动用或处分基金财产，根据基金管理人的合法指令、《基金合同》或托管协议的规定进行处分的除外。</w:t>
      </w:r>
    </w:p>
    <w:p w:rsidR="00BC44E7" w14:paraId="480524EA" w14:textId="77777777">
      <w:pPr>
        <w:snapToGrid w:val="0"/>
        <w:ind w:firstLine="480"/>
        <w:rPr>
          <w:rFonts w:ascii="宋体" w:hAnsi="宋体" w:cs="宋体"/>
          <w:sz w:val="24"/>
          <w:lang w:eastAsia="zh-CN"/>
        </w:rPr>
      </w:pPr>
      <w:r>
        <w:rPr>
          <w:rFonts w:ascii="宋体" w:hAnsi="宋体" w:cs="宋体" w:hint="eastAsia"/>
          <w:sz w:val="24"/>
          <w:highlight w:val="white"/>
          <w:lang w:eastAsia="zh-CN"/>
        </w:rPr>
        <w:t>（九）基金财产用于下列投资或者活动：</w:t>
      </w:r>
      <w:r>
        <w:rPr>
          <w:rFonts w:ascii="宋体" w:hAnsi="宋体" w:cs="宋体"/>
          <w:sz w:val="24"/>
          <w:highlight w:val="white"/>
          <w:lang w:eastAsia="zh-CN"/>
        </w:rPr>
        <w:t>（1）承销证券；（2）违反规定向他人贷款或者提供担保；（3）从事承担无限责任的投资；（4）向其基金管理人、基金托管人出资；（5）从事内幕交易、操纵证券交易价格及其他不正当的证券交易活动；（6）法律、行政法规和中国证监会规定禁止的其他活动。</w:t>
      </w:r>
      <w:r>
        <w:rPr>
          <w:rFonts w:ascii="宋体" w:hAnsi="宋体" w:cs="宋体" w:hint="eastAsia"/>
          <w:sz w:val="24"/>
          <w:highlight w:val="white"/>
          <w:lang w:eastAsia="zh-CN"/>
        </w:rPr>
        <w:t>法律法规或监管部门取消上述限制，则本基金投资不再受相关限制。</w:t>
      </w:r>
    </w:p>
    <w:p w:rsidR="00BC44E7" w14:paraId="0865F290" w14:textId="77777777">
      <w:pPr>
        <w:snapToGrid w:val="0"/>
        <w:ind w:firstLine="480"/>
        <w:rPr>
          <w:rFonts w:ascii="宋体" w:hAnsi="宋体" w:cs="宋体"/>
          <w:sz w:val="24"/>
          <w:lang w:eastAsia="zh-CN"/>
        </w:rPr>
      </w:pPr>
      <w:r>
        <w:rPr>
          <w:rFonts w:ascii="宋体" w:hAnsi="宋体" w:cs="宋体" w:hint="eastAsia"/>
          <w:sz w:val="24"/>
          <w:highlight w:val="white"/>
          <w:lang w:eastAsia="zh-CN"/>
        </w:rPr>
        <w:t>（十）法律法规和《基金合同》禁止的其他行为，以及依照法律、行政法规有关规定，由中国证监会规定禁止基金管理人、基金托管人从事的其他行为。</w:t>
      </w:r>
    </w:p>
    <w:p w:rsidR="00BC44E7" w14:paraId="4A1731B7" w14:textId="77777777">
      <w:pPr>
        <w:snapToGrid w:val="0"/>
        <w:ind w:firstLine="480"/>
        <w:rPr>
          <w:rFonts w:ascii="宋体" w:hAnsi="宋体" w:cs="宋体"/>
          <w:sz w:val="24"/>
          <w:lang w:eastAsia="zh-CN"/>
        </w:rPr>
      </w:pPr>
    </w:p>
    <w:p w:rsidR="00BC44E7" w14:paraId="76DB042E" w14:textId="77777777">
      <w:pPr>
        <w:pStyle w:val="21"/>
        <w:jc w:val="center"/>
        <w:rPr>
          <w:rFonts w:ascii="宋体" w:eastAsia="宋体" w:hAnsi="宋体" w:cs="宋体"/>
          <w:sz w:val="30"/>
          <w:lang w:eastAsia="zh-CN"/>
        </w:rPr>
      </w:pPr>
      <w:bookmarkStart w:id="94" w:name="_Toc68875918"/>
      <w:r>
        <w:rPr>
          <w:rFonts w:ascii="宋体" w:eastAsia="宋体" w:hAnsi="宋体" w:cs="宋体" w:hint="eastAsia"/>
          <w:sz w:val="30"/>
          <w:highlight w:val="white"/>
          <w:lang w:eastAsia="zh-CN"/>
        </w:rPr>
        <w:t>十六、托管协议的变更、终止与基金财产的清算</w:t>
      </w:r>
      <w:bookmarkEnd w:id="94"/>
    </w:p>
    <w:p w:rsidR="00BC44E7" w14:paraId="4B3C5C96" w14:textId="77777777">
      <w:pPr>
        <w:snapToGrid w:val="0"/>
        <w:ind w:firstLine="480"/>
        <w:rPr>
          <w:rFonts w:ascii="宋体" w:hAnsi="宋体" w:cs="宋体"/>
          <w:sz w:val="24"/>
          <w:lang w:eastAsia="zh-CN"/>
        </w:rPr>
      </w:pPr>
      <w:r>
        <w:rPr>
          <w:rFonts w:ascii="宋体" w:hAnsi="宋体" w:cs="宋体" w:hint="eastAsia"/>
          <w:sz w:val="24"/>
          <w:highlight w:val="white"/>
          <w:lang w:eastAsia="zh-CN"/>
        </w:rPr>
        <w:t>（一）托管协议的变更程序</w:t>
      </w:r>
    </w:p>
    <w:p w:rsidR="00BC44E7" w14:paraId="65B8B457" w14:textId="77777777">
      <w:pPr>
        <w:snapToGrid w:val="0"/>
        <w:ind w:firstLine="480"/>
        <w:rPr>
          <w:rFonts w:ascii="宋体" w:hAnsi="宋体" w:cs="宋体"/>
          <w:sz w:val="24"/>
          <w:lang w:eastAsia="zh-CN"/>
        </w:rPr>
      </w:pPr>
      <w:r>
        <w:rPr>
          <w:rFonts w:ascii="宋体" w:hAnsi="宋体" w:cs="宋体" w:hint="eastAsia"/>
          <w:sz w:val="24"/>
          <w:highlight w:val="white"/>
          <w:lang w:eastAsia="zh-CN"/>
        </w:rPr>
        <w:t>本协议双方当事人经协商一致，可以对协议进行修改。修改后的新协议，其内容不得与《基金合同》的规定有任何冲突。</w:t>
      </w:r>
    </w:p>
    <w:p w:rsidR="00BC44E7" w14:paraId="79EB633D" w14:textId="77777777">
      <w:pPr>
        <w:snapToGrid w:val="0"/>
        <w:ind w:firstLine="480"/>
        <w:rPr>
          <w:rFonts w:ascii="宋体" w:hAnsi="宋体" w:cs="宋体"/>
          <w:sz w:val="24"/>
          <w:lang w:eastAsia="zh-CN"/>
        </w:rPr>
      </w:pPr>
      <w:r>
        <w:rPr>
          <w:rFonts w:ascii="宋体" w:hAnsi="宋体" w:cs="宋体" w:hint="eastAsia"/>
          <w:sz w:val="24"/>
          <w:highlight w:val="white"/>
          <w:lang w:eastAsia="zh-CN"/>
        </w:rPr>
        <w:t>（二）托管协议终止的情形</w:t>
      </w:r>
    </w:p>
    <w:p w:rsidR="00BC44E7" w14:paraId="564B221B" w14:textId="77777777">
      <w:pPr>
        <w:snapToGrid w:val="0"/>
        <w:ind w:firstLine="480"/>
        <w:rPr>
          <w:rFonts w:ascii="宋体" w:hAnsi="宋体" w:cs="宋体"/>
          <w:sz w:val="24"/>
          <w:lang w:eastAsia="zh-CN"/>
        </w:rPr>
      </w:pPr>
      <w:r>
        <w:rPr>
          <w:rFonts w:ascii="宋体" w:hAnsi="宋体" w:cs="宋体" w:hint="eastAsia"/>
          <w:sz w:val="24"/>
          <w:highlight w:val="white"/>
          <w:lang w:eastAsia="zh-CN"/>
        </w:rPr>
        <w:t>1.《基金合同》终止；</w:t>
      </w:r>
    </w:p>
    <w:p w:rsidR="00BC44E7" w14:paraId="1B6844E5" w14:textId="77777777">
      <w:pPr>
        <w:snapToGrid w:val="0"/>
        <w:ind w:firstLine="480"/>
        <w:rPr>
          <w:rFonts w:ascii="宋体" w:hAnsi="宋体" w:cs="宋体"/>
          <w:sz w:val="24"/>
          <w:lang w:eastAsia="zh-CN"/>
        </w:rPr>
      </w:pPr>
      <w:r>
        <w:rPr>
          <w:rFonts w:ascii="宋体" w:hAnsi="宋体" w:cs="宋体" w:hint="eastAsia"/>
          <w:sz w:val="24"/>
          <w:highlight w:val="white"/>
          <w:lang w:eastAsia="zh-CN"/>
        </w:rPr>
        <w:t>2.基金托管人解散、依法被撤销、破产或由其他基金托管人接管基金资产；</w:t>
      </w:r>
    </w:p>
    <w:p w:rsidR="00BC44E7" w14:paraId="0A27CBED" w14:textId="77777777">
      <w:pPr>
        <w:snapToGrid w:val="0"/>
        <w:ind w:firstLine="480"/>
        <w:rPr>
          <w:rFonts w:ascii="宋体" w:hAnsi="宋体" w:cs="宋体"/>
          <w:sz w:val="24"/>
          <w:lang w:eastAsia="zh-CN"/>
        </w:rPr>
      </w:pPr>
      <w:r>
        <w:rPr>
          <w:rFonts w:ascii="宋体" w:hAnsi="宋体" w:cs="宋体" w:hint="eastAsia"/>
          <w:sz w:val="24"/>
          <w:highlight w:val="white"/>
          <w:lang w:eastAsia="zh-CN"/>
        </w:rPr>
        <w:t>3.基金管理人解散、依法被撤销、破产或由其他基金管理人接管基金管理权；</w:t>
      </w:r>
    </w:p>
    <w:p w:rsidR="00BC44E7" w14:paraId="33C7088F" w14:textId="77777777">
      <w:pPr>
        <w:snapToGrid w:val="0"/>
        <w:ind w:firstLine="480"/>
        <w:rPr>
          <w:rFonts w:ascii="宋体" w:hAnsi="宋体" w:cs="宋体"/>
          <w:sz w:val="24"/>
          <w:lang w:eastAsia="zh-CN"/>
        </w:rPr>
      </w:pPr>
      <w:r>
        <w:rPr>
          <w:rFonts w:ascii="宋体" w:hAnsi="宋体" w:cs="宋体" w:hint="eastAsia"/>
          <w:sz w:val="24"/>
          <w:highlight w:val="white"/>
          <w:lang w:eastAsia="zh-CN"/>
        </w:rPr>
        <w:t>4.发生法律法规、中国证监会或《基金合同》规定的终止事项。</w:t>
      </w:r>
    </w:p>
    <w:p w:rsidR="00BC44E7" w14:paraId="75A01808" w14:textId="77777777">
      <w:pPr>
        <w:snapToGrid w:val="0"/>
        <w:ind w:firstLine="480"/>
        <w:rPr>
          <w:rFonts w:ascii="宋体" w:hAnsi="宋体" w:cs="宋体"/>
          <w:sz w:val="24"/>
          <w:lang w:eastAsia="zh-CN"/>
        </w:rPr>
      </w:pPr>
      <w:r>
        <w:rPr>
          <w:rFonts w:ascii="宋体" w:hAnsi="宋体" w:cs="宋体" w:hint="eastAsia"/>
          <w:sz w:val="24"/>
          <w:highlight w:val="white"/>
          <w:lang w:eastAsia="zh-CN"/>
        </w:rPr>
        <w:t>（三）基金财产的清算</w:t>
      </w:r>
    </w:p>
    <w:p w:rsidR="00BC44E7" w14:paraId="19C6F30E" w14:textId="45922531">
      <w:pPr>
        <w:snapToGrid w:val="0"/>
        <w:ind w:firstLine="480"/>
        <w:rPr>
          <w:rFonts w:ascii="宋体" w:hAnsi="宋体" w:cs="宋体"/>
          <w:sz w:val="24"/>
          <w:lang w:eastAsia="zh-CN"/>
        </w:rPr>
      </w:pPr>
      <w:r>
        <w:rPr>
          <w:rFonts w:ascii="宋体" w:hAnsi="宋体" w:cs="宋体" w:hint="eastAsia"/>
          <w:sz w:val="24"/>
          <w:highlight w:val="white"/>
          <w:lang w:eastAsia="zh-CN"/>
        </w:rPr>
        <w:t>1</w:t>
      </w:r>
      <w:r w:rsidR="00A74314">
        <w:rPr>
          <w:rFonts w:ascii="宋体" w:hAnsi="宋体" w:cs="宋体" w:hint="eastAsia"/>
          <w:sz w:val="24"/>
          <w:highlight w:val="white"/>
          <w:lang w:eastAsia="zh-CN"/>
        </w:rPr>
        <w:t>.</w:t>
      </w:r>
      <w:r>
        <w:rPr>
          <w:rFonts w:ascii="宋体" w:hAnsi="宋体" w:cs="宋体" w:hint="eastAsia"/>
          <w:sz w:val="24"/>
          <w:highlight w:val="white"/>
          <w:lang w:eastAsia="zh-CN"/>
        </w:rPr>
        <w:t>基金财产清算小组：自出现《基金合同》终止事由之日起30个工作日内成立清算小组，基金管理人组织基金财产清算小组并在中国证监会的监督下进行基金清算。</w:t>
      </w:r>
    </w:p>
    <w:p w:rsidR="00BC44E7" w14:paraId="00671537" w14:textId="77014350">
      <w:pPr>
        <w:snapToGrid w:val="0"/>
        <w:ind w:firstLine="480"/>
        <w:rPr>
          <w:rFonts w:ascii="宋体" w:hAnsi="宋体" w:cs="宋体"/>
          <w:sz w:val="24"/>
          <w:lang w:eastAsia="zh-CN"/>
        </w:rPr>
      </w:pPr>
      <w:r>
        <w:rPr>
          <w:rFonts w:ascii="宋体" w:hAnsi="宋体" w:cs="宋体" w:hint="eastAsia"/>
          <w:sz w:val="24"/>
          <w:highlight w:val="white"/>
          <w:lang w:eastAsia="zh-CN"/>
        </w:rPr>
        <w:t>2</w:t>
      </w:r>
      <w:r w:rsidR="00A74314">
        <w:rPr>
          <w:rFonts w:ascii="宋体" w:hAnsi="宋体" w:cs="宋体"/>
          <w:sz w:val="24"/>
          <w:highlight w:val="white"/>
          <w:lang w:eastAsia="zh-CN"/>
        </w:rPr>
        <w:t>.</w:t>
      </w:r>
      <w:r>
        <w:rPr>
          <w:rFonts w:ascii="宋体" w:hAnsi="宋体" w:cs="宋体" w:hint="eastAsia"/>
          <w:sz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BC44E7" w14:paraId="0DA58A24" w14:textId="7AFE1997">
      <w:pPr>
        <w:snapToGrid w:val="0"/>
        <w:ind w:firstLine="480"/>
        <w:rPr>
          <w:rFonts w:ascii="宋体" w:hAnsi="宋体" w:cs="宋体"/>
          <w:sz w:val="24"/>
          <w:lang w:eastAsia="zh-CN"/>
        </w:rPr>
      </w:pPr>
      <w:r>
        <w:rPr>
          <w:rFonts w:ascii="宋体" w:hAnsi="宋体" w:cs="宋体" w:hint="eastAsia"/>
          <w:sz w:val="24"/>
          <w:highlight w:val="white"/>
          <w:lang w:eastAsia="zh-CN"/>
        </w:rPr>
        <w:t>3</w:t>
      </w:r>
      <w:r w:rsidR="00A74314">
        <w:rPr>
          <w:rFonts w:ascii="宋体" w:hAnsi="宋体" w:cs="宋体" w:hint="eastAsia"/>
          <w:sz w:val="24"/>
          <w:highlight w:val="white"/>
          <w:lang w:eastAsia="zh-CN"/>
        </w:rPr>
        <w:t>.</w:t>
      </w:r>
      <w:r>
        <w:rPr>
          <w:rFonts w:ascii="宋体" w:hAnsi="宋体" w:cs="宋体" w:hint="eastAsia"/>
          <w:sz w:val="24"/>
          <w:highlight w:val="white"/>
          <w:lang w:eastAsia="zh-CN"/>
        </w:rPr>
        <w:t>基金财产清算小组职责：基金财产清算小组负责基金财产的保管、清理、估价、变现和分配。基金财产清算小组可以依法进行必要的民事活动。</w:t>
      </w:r>
    </w:p>
    <w:p w:rsidR="00BC44E7" w14:paraId="22B15289" w14:textId="2884220E">
      <w:pPr>
        <w:snapToGrid w:val="0"/>
        <w:ind w:firstLine="480"/>
        <w:rPr>
          <w:rFonts w:ascii="宋体" w:hAnsi="宋体" w:cs="宋体"/>
          <w:sz w:val="24"/>
          <w:lang w:eastAsia="zh-CN"/>
        </w:rPr>
      </w:pPr>
      <w:r>
        <w:rPr>
          <w:rFonts w:ascii="宋体" w:hAnsi="宋体" w:cs="宋体" w:hint="eastAsia"/>
          <w:sz w:val="24"/>
          <w:highlight w:val="white"/>
          <w:lang w:eastAsia="zh-CN"/>
        </w:rPr>
        <w:t>4</w:t>
      </w:r>
      <w:r w:rsidR="00A74314">
        <w:rPr>
          <w:rFonts w:ascii="宋体" w:hAnsi="宋体" w:cs="宋体" w:hint="eastAsia"/>
          <w:sz w:val="24"/>
          <w:highlight w:val="white"/>
          <w:lang w:eastAsia="zh-CN"/>
        </w:rPr>
        <w:t>.</w:t>
      </w:r>
      <w:r>
        <w:rPr>
          <w:rFonts w:ascii="宋体" w:hAnsi="宋体" w:cs="宋体" w:hint="eastAsia"/>
          <w:sz w:val="24"/>
          <w:highlight w:val="white"/>
          <w:lang w:eastAsia="zh-CN"/>
        </w:rPr>
        <w:t>基金财产清算程序：</w:t>
      </w:r>
    </w:p>
    <w:p w:rsidR="00BC44E7" w14:paraId="07B8103F" w14:textId="77777777">
      <w:pPr>
        <w:snapToGrid w:val="0"/>
        <w:ind w:firstLine="480"/>
        <w:rPr>
          <w:rFonts w:ascii="宋体" w:hAnsi="宋体" w:cs="宋体"/>
          <w:sz w:val="24"/>
          <w:lang w:eastAsia="zh-CN"/>
        </w:rPr>
      </w:pPr>
      <w:r>
        <w:rPr>
          <w:rFonts w:ascii="宋体" w:hAnsi="宋体" w:cs="宋体" w:hint="eastAsia"/>
          <w:sz w:val="24"/>
          <w:highlight w:val="white"/>
          <w:lang w:eastAsia="zh-CN"/>
        </w:rPr>
        <w:t>（1）《基金合同》终止情形出现时，由基金财产清算小组统一接管基金；</w:t>
      </w:r>
    </w:p>
    <w:p w:rsidR="00BC44E7" w14:paraId="3B53E899" w14:textId="77777777">
      <w:pPr>
        <w:snapToGrid w:val="0"/>
        <w:ind w:firstLine="480"/>
        <w:rPr>
          <w:rFonts w:ascii="宋体" w:hAnsi="宋体" w:cs="宋体"/>
          <w:sz w:val="24"/>
          <w:lang w:eastAsia="zh-CN"/>
        </w:rPr>
      </w:pPr>
      <w:r>
        <w:rPr>
          <w:rFonts w:ascii="宋体" w:hAnsi="宋体" w:cs="宋体" w:hint="eastAsia"/>
          <w:sz w:val="24"/>
          <w:highlight w:val="white"/>
          <w:lang w:eastAsia="zh-CN"/>
        </w:rPr>
        <w:t>（2）对基金财产和债权债务进行清理和确认；</w:t>
      </w:r>
    </w:p>
    <w:p w:rsidR="00BC44E7" w14:paraId="1D0F19C3" w14:textId="77777777">
      <w:pPr>
        <w:snapToGrid w:val="0"/>
        <w:ind w:firstLine="480"/>
        <w:rPr>
          <w:rFonts w:ascii="宋体" w:hAnsi="宋体" w:cs="宋体"/>
          <w:sz w:val="24"/>
          <w:lang w:eastAsia="zh-CN"/>
        </w:rPr>
      </w:pPr>
      <w:r>
        <w:rPr>
          <w:rFonts w:ascii="宋体" w:hAnsi="宋体" w:cs="宋体" w:hint="eastAsia"/>
          <w:sz w:val="24"/>
          <w:highlight w:val="white"/>
          <w:lang w:eastAsia="zh-CN"/>
        </w:rPr>
        <w:t>（3）对基金财产进行估值和变现；</w:t>
      </w:r>
    </w:p>
    <w:p w:rsidR="00BC44E7" w14:paraId="675C220F" w14:textId="77777777">
      <w:pPr>
        <w:snapToGrid w:val="0"/>
        <w:ind w:firstLine="480"/>
        <w:rPr>
          <w:rFonts w:ascii="宋体" w:hAnsi="宋体" w:cs="宋体"/>
          <w:sz w:val="24"/>
          <w:lang w:eastAsia="zh-CN"/>
        </w:rPr>
      </w:pPr>
      <w:r>
        <w:rPr>
          <w:rFonts w:ascii="宋体" w:hAnsi="宋体" w:cs="宋体" w:hint="eastAsia"/>
          <w:sz w:val="24"/>
          <w:highlight w:val="white"/>
          <w:lang w:eastAsia="zh-CN"/>
        </w:rPr>
        <w:t>（4）制作清算报告；</w:t>
      </w:r>
    </w:p>
    <w:p w:rsidR="00BC44E7" w14:paraId="54937995" w14:textId="77777777">
      <w:pPr>
        <w:snapToGrid w:val="0"/>
        <w:ind w:firstLine="480"/>
        <w:rPr>
          <w:rFonts w:ascii="宋体" w:hAnsi="宋体" w:cs="宋体"/>
          <w:sz w:val="24"/>
          <w:lang w:eastAsia="zh-CN"/>
        </w:rPr>
      </w:pPr>
      <w:r>
        <w:rPr>
          <w:rFonts w:ascii="宋体" w:hAnsi="宋体" w:cs="宋体" w:hint="eastAsia"/>
          <w:sz w:val="24"/>
          <w:highlight w:val="white"/>
          <w:lang w:eastAsia="zh-CN"/>
        </w:rPr>
        <w:t>（5）聘请会计师事务所对清算报告进行外部审计，聘请律师事务所对清算报告出具法律意见书；</w:t>
      </w:r>
    </w:p>
    <w:p w:rsidR="00BC44E7" w14:paraId="38AC24B1" w14:textId="77777777">
      <w:pPr>
        <w:snapToGrid w:val="0"/>
        <w:ind w:firstLine="480"/>
        <w:rPr>
          <w:rFonts w:ascii="宋体" w:hAnsi="宋体" w:cs="宋体"/>
          <w:sz w:val="24"/>
          <w:lang w:eastAsia="zh-CN"/>
        </w:rPr>
      </w:pPr>
      <w:r>
        <w:rPr>
          <w:rFonts w:ascii="宋体" w:hAnsi="宋体" w:cs="宋体" w:hint="eastAsia"/>
          <w:sz w:val="24"/>
          <w:highlight w:val="white"/>
          <w:lang w:eastAsia="zh-CN"/>
        </w:rPr>
        <w:t>（6）将清算报告报中国证监会备案并公告；</w:t>
      </w:r>
    </w:p>
    <w:p w:rsidR="00BC44E7" w14:paraId="3F0872CB" w14:textId="77777777">
      <w:pPr>
        <w:snapToGrid w:val="0"/>
        <w:ind w:firstLine="480"/>
        <w:rPr>
          <w:rFonts w:ascii="宋体" w:hAnsi="宋体" w:cs="宋体"/>
          <w:sz w:val="24"/>
          <w:lang w:eastAsia="zh-CN"/>
        </w:rPr>
      </w:pPr>
      <w:r>
        <w:rPr>
          <w:rFonts w:ascii="宋体" w:hAnsi="宋体" w:cs="宋体" w:hint="eastAsia"/>
          <w:sz w:val="24"/>
          <w:highlight w:val="white"/>
          <w:lang w:eastAsia="zh-CN"/>
        </w:rPr>
        <w:t>（7）对基金剩余财产进行分配。</w:t>
      </w:r>
    </w:p>
    <w:p w:rsidR="00BC44E7" w14:paraId="42289D14" w14:textId="0263E785">
      <w:pPr>
        <w:snapToGrid w:val="0"/>
        <w:ind w:firstLine="480"/>
        <w:rPr>
          <w:rFonts w:ascii="宋体" w:hAnsi="宋体" w:cs="宋体"/>
          <w:sz w:val="24"/>
          <w:lang w:eastAsia="zh-CN"/>
        </w:rPr>
      </w:pPr>
      <w:r>
        <w:rPr>
          <w:rFonts w:ascii="宋体" w:hAnsi="宋体" w:cs="宋体" w:hint="eastAsia"/>
          <w:sz w:val="24"/>
          <w:highlight w:val="white"/>
          <w:lang w:eastAsia="zh-CN"/>
        </w:rPr>
        <w:t>5</w:t>
      </w:r>
      <w:r w:rsidR="00A74314">
        <w:rPr>
          <w:rFonts w:ascii="宋体" w:hAnsi="宋体" w:cs="宋体" w:hint="eastAsia"/>
          <w:sz w:val="24"/>
          <w:highlight w:val="white"/>
          <w:lang w:eastAsia="zh-CN"/>
        </w:rPr>
        <w:t>.</w:t>
      </w:r>
      <w:r>
        <w:rPr>
          <w:rFonts w:ascii="宋体" w:hAnsi="宋体" w:cs="宋体" w:hint="eastAsia"/>
          <w:sz w:val="24"/>
          <w:highlight w:val="white"/>
          <w:lang w:eastAsia="zh-CN"/>
        </w:rPr>
        <w:t>基金财产清算的期限为6个月，但因本基金所持证券的流动性受到限制而不能及时变现的，清算期限相应顺延。</w:t>
      </w:r>
    </w:p>
    <w:p w:rsidR="00BC44E7" w14:paraId="2B1EDF1C" w14:textId="2D42146E">
      <w:pPr>
        <w:snapToGrid w:val="0"/>
        <w:ind w:firstLine="480"/>
        <w:rPr>
          <w:rFonts w:ascii="宋体" w:hAnsi="宋体" w:cs="宋体"/>
          <w:sz w:val="24"/>
          <w:lang w:eastAsia="zh-CN"/>
        </w:rPr>
      </w:pPr>
      <w:r>
        <w:rPr>
          <w:rFonts w:ascii="宋体" w:hAnsi="宋体" w:cs="宋体" w:hint="eastAsia"/>
          <w:sz w:val="24"/>
          <w:highlight w:val="white"/>
          <w:lang w:eastAsia="zh-CN"/>
        </w:rPr>
        <w:t>6</w:t>
      </w:r>
      <w:r w:rsidR="00A74314">
        <w:rPr>
          <w:rFonts w:ascii="宋体" w:hAnsi="宋体" w:cs="宋体" w:hint="eastAsia"/>
          <w:sz w:val="24"/>
          <w:highlight w:val="white"/>
          <w:lang w:eastAsia="zh-CN"/>
        </w:rPr>
        <w:t>.</w:t>
      </w:r>
      <w:r>
        <w:rPr>
          <w:rFonts w:ascii="宋体" w:hAnsi="宋体" w:cs="宋体" w:hint="eastAsia"/>
          <w:sz w:val="24"/>
          <w:highlight w:val="white"/>
          <w:lang w:eastAsia="zh-CN"/>
        </w:rPr>
        <w:t>清算费用</w:t>
      </w:r>
    </w:p>
    <w:p w:rsidR="00BC44E7" w14:paraId="5A61FCA7" w14:textId="77777777">
      <w:pPr>
        <w:snapToGrid w:val="0"/>
        <w:ind w:firstLine="480"/>
        <w:rPr>
          <w:rFonts w:ascii="宋体" w:hAnsi="宋体" w:cs="宋体"/>
          <w:sz w:val="24"/>
          <w:lang w:eastAsia="zh-CN"/>
        </w:rPr>
      </w:pPr>
      <w:r>
        <w:rPr>
          <w:rFonts w:ascii="宋体" w:hAnsi="宋体" w:cs="宋体" w:hint="eastAsia"/>
          <w:sz w:val="24"/>
          <w:highlight w:val="white"/>
          <w:lang w:eastAsia="zh-CN"/>
        </w:rPr>
        <w:t>清算费用是指基金财产清算小组在进行基金清算过程中发生的所有合理费用，清算费用由基金财产清算小组优先从基金财产中支付。</w:t>
      </w:r>
    </w:p>
    <w:p w:rsidR="00BC44E7" w14:paraId="7C267771" w14:textId="71240FEE">
      <w:pPr>
        <w:snapToGrid w:val="0"/>
        <w:ind w:firstLine="480"/>
        <w:rPr>
          <w:rFonts w:ascii="宋体" w:hAnsi="宋体" w:cs="宋体"/>
          <w:sz w:val="24"/>
          <w:lang w:eastAsia="zh-CN"/>
        </w:rPr>
      </w:pPr>
      <w:r>
        <w:rPr>
          <w:rFonts w:ascii="宋体" w:hAnsi="宋体" w:cs="宋体" w:hint="eastAsia"/>
          <w:sz w:val="24"/>
          <w:highlight w:val="white"/>
          <w:lang w:eastAsia="zh-CN"/>
        </w:rPr>
        <w:t>7</w:t>
      </w:r>
      <w:r w:rsidR="00A74314">
        <w:rPr>
          <w:rFonts w:ascii="宋体" w:hAnsi="宋体" w:cs="宋体" w:hint="eastAsia"/>
          <w:sz w:val="24"/>
          <w:highlight w:val="white"/>
          <w:lang w:eastAsia="zh-CN"/>
        </w:rPr>
        <w:t>.</w:t>
      </w:r>
      <w:r>
        <w:rPr>
          <w:rFonts w:ascii="宋体" w:hAnsi="宋体" w:cs="宋体" w:hint="eastAsia"/>
          <w:sz w:val="24"/>
          <w:highlight w:val="white"/>
          <w:lang w:eastAsia="zh-CN"/>
        </w:rPr>
        <w:t>基金财产清算剩余资产的分配</w:t>
      </w:r>
    </w:p>
    <w:p w:rsidR="00BC44E7" w14:paraId="6AC13604" w14:textId="5685D856">
      <w:pPr>
        <w:snapToGrid w:val="0"/>
        <w:ind w:firstLine="480"/>
        <w:rPr>
          <w:rFonts w:ascii="宋体" w:hAnsi="宋体" w:cs="宋体"/>
          <w:sz w:val="24"/>
          <w:lang w:eastAsia="zh-CN"/>
        </w:rPr>
      </w:pPr>
      <w:r>
        <w:rPr>
          <w:rFonts w:ascii="宋体" w:hAnsi="宋体" w:cs="宋体" w:hint="eastAsia"/>
          <w:sz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r w:rsidRPr="00623BF7" w:rsidR="00623BF7">
        <w:rPr>
          <w:rFonts w:ascii="宋体" w:hAnsi="宋体" w:cs="宋体" w:hint="eastAsia"/>
          <w:sz w:val="24"/>
          <w:lang w:eastAsia="zh-CN"/>
        </w:rPr>
        <w:t>分配金额需加上返还基金份额持有人的销售服务费（如有）。</w:t>
      </w:r>
    </w:p>
    <w:p w:rsidR="00BC44E7" w14:paraId="11421CFC" w14:textId="75EC9405">
      <w:pPr>
        <w:snapToGrid w:val="0"/>
        <w:ind w:firstLine="480"/>
        <w:rPr>
          <w:rFonts w:ascii="宋体" w:hAnsi="宋体" w:cs="宋体"/>
          <w:sz w:val="24"/>
          <w:lang w:eastAsia="zh-CN"/>
        </w:rPr>
      </w:pPr>
      <w:r>
        <w:rPr>
          <w:rFonts w:ascii="宋体" w:hAnsi="宋体" w:cs="宋体" w:hint="eastAsia"/>
          <w:sz w:val="24"/>
          <w:highlight w:val="white"/>
          <w:lang w:eastAsia="zh-CN"/>
        </w:rPr>
        <w:t>8</w:t>
      </w:r>
      <w:r w:rsidR="00A74314">
        <w:rPr>
          <w:rFonts w:ascii="宋体" w:hAnsi="宋体" w:cs="宋体" w:hint="eastAsia"/>
          <w:sz w:val="24"/>
          <w:highlight w:val="white"/>
          <w:lang w:eastAsia="zh-CN"/>
        </w:rPr>
        <w:t>.</w:t>
      </w:r>
      <w:r>
        <w:rPr>
          <w:rFonts w:ascii="宋体" w:hAnsi="宋体" w:cs="宋体" w:hint="eastAsia"/>
          <w:sz w:val="24"/>
          <w:highlight w:val="white"/>
          <w:lang w:eastAsia="zh-CN"/>
        </w:rPr>
        <w:t>基金财产清算的公告</w:t>
      </w:r>
    </w:p>
    <w:p w:rsidR="00BC44E7" w14:paraId="305EA7BF" w14:textId="77777777">
      <w:pPr>
        <w:snapToGrid w:val="0"/>
        <w:ind w:firstLine="480"/>
        <w:rPr>
          <w:rFonts w:ascii="宋体" w:hAnsi="宋体" w:cs="宋体"/>
          <w:sz w:val="24"/>
          <w:lang w:eastAsia="zh-CN"/>
        </w:rPr>
      </w:pPr>
      <w:r>
        <w:rPr>
          <w:rFonts w:ascii="宋体" w:hAnsi="宋体" w:cs="宋体" w:hint="eastAsia"/>
          <w:sz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BC44E7" w14:paraId="3A5606B4" w14:textId="5CA3744A">
      <w:pPr>
        <w:snapToGrid w:val="0"/>
        <w:ind w:firstLine="480"/>
        <w:rPr>
          <w:rFonts w:ascii="宋体" w:hAnsi="宋体" w:cs="宋体"/>
          <w:sz w:val="24"/>
          <w:lang w:eastAsia="zh-CN"/>
        </w:rPr>
      </w:pPr>
      <w:r>
        <w:rPr>
          <w:rFonts w:ascii="宋体" w:hAnsi="宋体" w:cs="宋体" w:hint="eastAsia"/>
          <w:sz w:val="24"/>
          <w:highlight w:val="white"/>
          <w:lang w:eastAsia="zh-CN"/>
        </w:rPr>
        <w:t>9</w:t>
      </w:r>
      <w:r w:rsidR="00A74314">
        <w:rPr>
          <w:rFonts w:ascii="宋体" w:hAnsi="宋体" w:cs="宋体" w:hint="eastAsia"/>
          <w:sz w:val="24"/>
          <w:highlight w:val="white"/>
          <w:lang w:eastAsia="zh-CN"/>
        </w:rPr>
        <w:t>.</w:t>
      </w:r>
      <w:r>
        <w:rPr>
          <w:rFonts w:ascii="宋体" w:hAnsi="宋体" w:cs="宋体" w:hint="eastAsia"/>
          <w:sz w:val="24"/>
          <w:highlight w:val="white"/>
          <w:lang w:eastAsia="zh-CN"/>
        </w:rPr>
        <w:t>基金财产清算账册及文件的保存</w:t>
      </w:r>
    </w:p>
    <w:p w:rsidR="00BC44E7" w14:paraId="114C09B3" w14:textId="77777777">
      <w:pPr>
        <w:snapToGrid w:val="0"/>
        <w:ind w:firstLine="480"/>
        <w:rPr>
          <w:rFonts w:ascii="宋体" w:hAnsi="宋体" w:cs="宋体"/>
          <w:sz w:val="24"/>
          <w:lang w:eastAsia="zh-CN"/>
        </w:rPr>
      </w:pPr>
      <w:r>
        <w:rPr>
          <w:rFonts w:ascii="宋体" w:hAnsi="宋体" w:cs="宋体" w:hint="eastAsia"/>
          <w:sz w:val="24"/>
          <w:highlight w:val="white"/>
          <w:lang w:eastAsia="zh-CN"/>
        </w:rPr>
        <w:t>基金财产清算账册及有关文件由基金托管人保存20年以上。</w:t>
      </w:r>
    </w:p>
    <w:p w:rsidR="00BC44E7" w14:paraId="2D1CD77E" w14:textId="77777777">
      <w:pPr>
        <w:ind w:firstLine="480"/>
        <w:rPr>
          <w:rFonts w:ascii="宋体" w:hAnsi="宋体" w:cs="宋体"/>
          <w:sz w:val="24"/>
          <w:lang w:eastAsia="zh-CN"/>
        </w:rPr>
      </w:pPr>
    </w:p>
    <w:p w:rsidR="00BC44E7" w14:paraId="4683D0D8" w14:textId="77777777">
      <w:pPr>
        <w:ind w:firstLine="480"/>
        <w:rPr>
          <w:rFonts w:ascii="宋体" w:hAnsi="宋体" w:cs="宋体"/>
          <w:sz w:val="24"/>
          <w:lang w:eastAsia="zh-CN"/>
        </w:rPr>
      </w:pPr>
    </w:p>
    <w:p w:rsidR="00BC44E7" w14:paraId="49EFC0AA" w14:textId="77777777">
      <w:pPr>
        <w:ind w:firstLine="480"/>
        <w:rPr>
          <w:rFonts w:ascii="宋体" w:hAnsi="宋体" w:cs="宋体"/>
          <w:sz w:val="24"/>
          <w:lang w:eastAsia="zh-CN"/>
        </w:rPr>
      </w:pPr>
    </w:p>
    <w:p w:rsidR="00BC44E7" w14:paraId="0DBF1D91" w14:textId="77777777">
      <w:pPr>
        <w:snapToGrid w:val="0"/>
        <w:ind w:firstLine="480"/>
        <w:rPr>
          <w:rFonts w:ascii="宋体" w:hAnsi="宋体" w:cs="宋体"/>
          <w:sz w:val="24"/>
          <w:lang w:eastAsia="zh-CN"/>
        </w:rPr>
      </w:pPr>
    </w:p>
    <w:p w:rsidR="00BC44E7" w14:paraId="77DDF50D" w14:textId="77777777">
      <w:pPr>
        <w:pStyle w:val="21"/>
        <w:jc w:val="center"/>
        <w:rPr>
          <w:rFonts w:ascii="宋体" w:eastAsia="宋体" w:hAnsi="宋体" w:cs="宋体"/>
          <w:sz w:val="30"/>
          <w:lang w:eastAsia="zh-CN"/>
        </w:rPr>
      </w:pPr>
      <w:bookmarkStart w:id="95" w:name="_Toc68875919"/>
      <w:r>
        <w:rPr>
          <w:rFonts w:ascii="宋体" w:eastAsia="宋体" w:hAnsi="宋体" w:cs="宋体" w:hint="eastAsia"/>
          <w:sz w:val="30"/>
          <w:highlight w:val="white"/>
          <w:lang w:eastAsia="zh-CN"/>
        </w:rPr>
        <w:t>十七、违约责任</w:t>
      </w:r>
      <w:bookmarkEnd w:id="95"/>
    </w:p>
    <w:p w:rsidR="00BC44E7" w14:paraId="190EE877" w14:textId="77777777">
      <w:pPr>
        <w:snapToGrid w:val="0"/>
        <w:ind w:firstLine="480"/>
        <w:rPr>
          <w:rFonts w:ascii="宋体" w:hAnsi="宋体" w:cs="宋体"/>
          <w:sz w:val="24"/>
          <w:lang w:eastAsia="zh-CN"/>
        </w:rPr>
      </w:pPr>
      <w:r>
        <w:rPr>
          <w:rFonts w:ascii="宋体" w:hAnsi="宋体" w:cs="宋体" w:hint="eastAsia"/>
          <w:sz w:val="24"/>
          <w:highlight w:val="white"/>
          <w:lang w:eastAsia="zh-CN"/>
        </w:rPr>
        <w:t>（一）基金管理人、基金托管人不履行本协议或履行本协议不符合约定的，应当承担违约责任。</w:t>
      </w:r>
    </w:p>
    <w:p w:rsidR="00BC44E7" w14:paraId="6BF8D0B4" w14:textId="77777777">
      <w:pPr>
        <w:snapToGrid w:val="0"/>
        <w:ind w:firstLine="480"/>
        <w:rPr>
          <w:rFonts w:ascii="宋体" w:hAnsi="宋体" w:cs="宋体"/>
          <w:sz w:val="24"/>
          <w:lang w:eastAsia="zh-CN"/>
        </w:rPr>
      </w:pPr>
      <w:r>
        <w:rPr>
          <w:rFonts w:ascii="宋体" w:hAnsi="宋体" w:cs="宋体" w:hint="eastAsia"/>
          <w:sz w:val="24"/>
          <w:highlight w:val="white"/>
          <w:lang w:eastAsia="zh-CN"/>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BC44E7" w14:paraId="436B816D" w14:textId="77777777">
      <w:pPr>
        <w:snapToGrid w:val="0"/>
        <w:ind w:firstLine="480"/>
        <w:rPr>
          <w:rFonts w:ascii="宋体" w:hAnsi="宋体" w:cs="宋体"/>
          <w:sz w:val="24"/>
          <w:lang w:eastAsia="zh-CN"/>
        </w:rPr>
      </w:pPr>
      <w:r>
        <w:rPr>
          <w:rFonts w:ascii="宋体" w:hAnsi="宋体" w:cs="宋体" w:hint="eastAsia"/>
          <w:sz w:val="24"/>
          <w:highlight w:val="white"/>
          <w:lang w:eastAsia="zh-CN"/>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BC44E7" w14:paraId="0E510C24" w14:textId="495ED67F">
      <w:pPr>
        <w:snapToGrid w:val="0"/>
        <w:ind w:firstLine="480"/>
        <w:rPr>
          <w:rFonts w:ascii="宋体" w:hAnsi="宋体" w:cs="宋体"/>
          <w:sz w:val="24"/>
          <w:lang w:eastAsia="zh-CN"/>
        </w:rPr>
      </w:pPr>
      <w:r>
        <w:rPr>
          <w:rFonts w:ascii="宋体" w:hAnsi="宋体" w:cs="宋体" w:hint="eastAsia"/>
          <w:sz w:val="24"/>
          <w:highlight w:val="white"/>
          <w:lang w:eastAsia="zh-CN"/>
        </w:rPr>
        <w:t>1</w:t>
      </w:r>
      <w:r w:rsidR="00A74314">
        <w:rPr>
          <w:rFonts w:ascii="宋体" w:hAnsi="宋体" w:cs="宋体" w:hint="eastAsia"/>
          <w:sz w:val="24"/>
          <w:highlight w:val="white"/>
          <w:lang w:eastAsia="zh-CN"/>
        </w:rPr>
        <w:t>.</w:t>
      </w:r>
      <w:r>
        <w:rPr>
          <w:rFonts w:ascii="宋体" w:hAnsi="宋体" w:cs="宋体" w:hint="eastAsia"/>
          <w:sz w:val="24"/>
          <w:highlight w:val="white"/>
          <w:lang w:eastAsia="zh-CN"/>
        </w:rPr>
        <w:t>不可抗力；</w:t>
      </w:r>
    </w:p>
    <w:p w:rsidR="00BC44E7" w14:paraId="564B76E0" w14:textId="0BC22DF8">
      <w:pPr>
        <w:snapToGrid w:val="0"/>
        <w:ind w:firstLine="480"/>
        <w:rPr>
          <w:rFonts w:ascii="宋体" w:hAnsi="宋体" w:cs="宋体"/>
          <w:sz w:val="24"/>
          <w:lang w:eastAsia="zh-CN"/>
        </w:rPr>
      </w:pPr>
      <w:r>
        <w:rPr>
          <w:rFonts w:ascii="宋体" w:hAnsi="宋体" w:cs="宋体" w:hint="eastAsia"/>
          <w:sz w:val="24"/>
          <w:highlight w:val="white"/>
          <w:lang w:eastAsia="zh-CN"/>
        </w:rPr>
        <w:t>2</w:t>
      </w:r>
      <w:r w:rsidR="00A74314">
        <w:rPr>
          <w:rFonts w:ascii="宋体" w:hAnsi="宋体" w:cs="宋体" w:hint="eastAsia"/>
          <w:sz w:val="24"/>
          <w:highlight w:val="white"/>
          <w:lang w:eastAsia="zh-CN"/>
        </w:rPr>
        <w:t>.</w:t>
      </w:r>
      <w:r>
        <w:rPr>
          <w:rFonts w:ascii="宋体" w:hAnsi="宋体" w:cs="宋体" w:hint="eastAsia"/>
          <w:sz w:val="24"/>
          <w:highlight w:val="white"/>
          <w:lang w:eastAsia="zh-CN"/>
        </w:rPr>
        <w:t>基金管理人和/或基金托管人按照当时有效的法律法规或中国证监会的规定作为或不作为而造成的损失等；</w:t>
      </w:r>
    </w:p>
    <w:p w:rsidR="00BC44E7" w14:paraId="281C5940" w14:textId="22092E89">
      <w:pPr>
        <w:ind w:firstLine="480"/>
        <w:rPr>
          <w:lang w:eastAsia="zh-CN"/>
        </w:rPr>
      </w:pPr>
      <w:r>
        <w:rPr>
          <w:rFonts w:ascii="宋体" w:hAnsi="宋体" w:cs="宋体" w:hint="eastAsia"/>
          <w:sz w:val="24"/>
          <w:highlight w:val="white"/>
          <w:lang w:eastAsia="zh-CN"/>
        </w:rPr>
        <w:t>3</w:t>
      </w:r>
      <w:r w:rsidR="00A74314">
        <w:rPr>
          <w:rFonts w:ascii="宋体" w:hAnsi="宋体" w:cs="宋体" w:hint="eastAsia"/>
          <w:sz w:val="24"/>
          <w:highlight w:val="white"/>
          <w:lang w:eastAsia="zh-CN"/>
        </w:rPr>
        <w:t>.</w:t>
      </w:r>
      <w:r>
        <w:rPr>
          <w:rFonts w:ascii="宋体" w:hAnsi="宋体" w:cs="宋体" w:hint="eastAsia"/>
          <w:sz w:val="24"/>
          <w:highlight w:val="white"/>
          <w:lang w:eastAsia="zh-CN"/>
        </w:rPr>
        <w:t>在没有过错的情况下，基金管理人由于按照基金合同规定的投资原则投资或不投资造成的直接损失或潜在损失等</w:t>
      </w:r>
      <w:r w:rsidR="00A74314">
        <w:rPr>
          <w:rFonts w:ascii="宋体" w:hAnsi="宋体" w:cs="宋体" w:hint="eastAsia"/>
          <w:sz w:val="24"/>
          <w:highlight w:val="white"/>
          <w:lang w:eastAsia="zh-CN"/>
        </w:rPr>
        <w:t>；</w:t>
      </w:r>
    </w:p>
    <w:p w:rsidR="00BC44E7" w14:paraId="6298B8FA" w14:textId="79EA4109">
      <w:pPr>
        <w:ind w:firstLine="480"/>
        <w:rPr>
          <w:lang w:eastAsia="zh-CN"/>
        </w:rPr>
      </w:pPr>
      <w:r>
        <w:rPr>
          <w:rFonts w:ascii="宋体" w:hAnsi="宋体" w:cs="宋体" w:hint="eastAsia"/>
          <w:sz w:val="24"/>
          <w:highlight w:val="white"/>
          <w:lang w:eastAsia="zh-CN"/>
        </w:rPr>
        <w:t>4</w:t>
      </w:r>
      <w:r w:rsidR="00A74314">
        <w:rPr>
          <w:rFonts w:ascii="宋体" w:hAnsi="宋体" w:cs="宋体" w:hint="eastAsia"/>
          <w:sz w:val="24"/>
          <w:highlight w:val="white"/>
          <w:lang w:eastAsia="zh-CN"/>
        </w:rPr>
        <w:t>.</w:t>
      </w:r>
      <w:r>
        <w:rPr>
          <w:rFonts w:ascii="宋体" w:hAnsi="宋体" w:cs="宋体" w:hint="eastAsia"/>
          <w:sz w:val="24"/>
          <w:highlight w:val="white"/>
          <w:lang w:eastAsia="zh-CN"/>
        </w:rPr>
        <w:t>非因基金管理人、基金托管人的故意或重大过失造成的计算机系统故障、网络故障、通讯故障、电力故障、计算机病毒攻击及其它意外事故所导致的损失等。</w:t>
      </w:r>
    </w:p>
    <w:p w:rsidR="00BC44E7" w14:paraId="17FD28A9" w14:textId="77777777">
      <w:pPr>
        <w:snapToGrid w:val="0"/>
        <w:ind w:firstLine="480"/>
        <w:rPr>
          <w:rFonts w:ascii="宋体" w:hAnsi="宋体" w:cs="宋体"/>
          <w:sz w:val="24"/>
          <w:lang w:eastAsia="zh-CN"/>
        </w:rPr>
      </w:pPr>
      <w:r>
        <w:rPr>
          <w:rFonts w:ascii="宋体" w:hAnsi="宋体" w:cs="宋体" w:hint="eastAsia"/>
          <w:sz w:val="24"/>
          <w:highlight w:val="white"/>
          <w:lang w:eastAsia="zh-CN"/>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BC44E7" w14:paraId="660DAD10" w14:textId="77777777">
      <w:pPr>
        <w:snapToGrid w:val="0"/>
        <w:ind w:firstLine="480"/>
        <w:rPr>
          <w:rFonts w:ascii="宋体" w:hAnsi="宋体" w:cs="宋体"/>
          <w:sz w:val="24"/>
          <w:lang w:eastAsia="zh-CN"/>
        </w:rPr>
      </w:pPr>
      <w:r>
        <w:rPr>
          <w:rFonts w:ascii="宋体" w:hAnsi="宋体" w:cs="宋体" w:hint="eastAsia"/>
          <w:sz w:val="24"/>
          <w:highlight w:val="white"/>
          <w:lang w:eastAsia="zh-CN"/>
        </w:rPr>
        <w:t>（五）违约行为虽已发生，但本托管协议能够继续履行的，在最大限度地保护基金份额持有人利益的前提下，基金管理人和基金托管人应当继续履行本协议。</w:t>
      </w:r>
    </w:p>
    <w:p w:rsidR="00BC44E7" w14:paraId="35B53E91" w14:textId="77777777">
      <w:pPr>
        <w:snapToGrid w:val="0"/>
        <w:ind w:firstLine="480"/>
        <w:rPr>
          <w:rFonts w:ascii="宋体" w:hAnsi="宋体" w:cs="宋体"/>
          <w:sz w:val="24"/>
          <w:lang w:eastAsia="zh-CN"/>
        </w:rPr>
      </w:pPr>
      <w:r>
        <w:rPr>
          <w:rFonts w:ascii="宋体" w:hAnsi="宋体" w:cs="宋体" w:hint="eastAsia"/>
          <w:sz w:val="24"/>
          <w:highlight w:val="white"/>
          <w:lang w:eastAsia="zh-CN"/>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BC44E7" w14:paraId="052E0EE8" w14:textId="77777777">
      <w:pPr>
        <w:snapToGrid w:val="0"/>
        <w:outlineLvl w:val="0"/>
        <w:rPr>
          <w:rFonts w:ascii="宋体" w:hAnsi="宋体" w:cs="宋体"/>
          <w:sz w:val="24"/>
          <w:lang w:eastAsia="zh-CN"/>
        </w:rPr>
      </w:pPr>
    </w:p>
    <w:p w:rsidR="00BC44E7" w14:paraId="52FE7FAB" w14:textId="77777777">
      <w:pPr>
        <w:pStyle w:val="21"/>
        <w:jc w:val="center"/>
        <w:rPr>
          <w:rFonts w:ascii="宋体" w:eastAsia="宋体" w:hAnsi="宋体" w:cs="宋体"/>
          <w:sz w:val="30"/>
          <w:lang w:eastAsia="zh-CN"/>
        </w:rPr>
      </w:pPr>
      <w:bookmarkStart w:id="96" w:name="_Toc68875920"/>
      <w:r>
        <w:rPr>
          <w:rFonts w:ascii="宋体" w:eastAsia="宋体" w:hAnsi="宋体" w:cs="宋体" w:hint="eastAsia"/>
          <w:sz w:val="30"/>
          <w:highlight w:val="white"/>
          <w:lang w:eastAsia="zh-CN"/>
        </w:rPr>
        <w:t>十八、争议解决方式</w:t>
      </w:r>
      <w:bookmarkEnd w:id="96"/>
    </w:p>
    <w:p w:rsidR="00BC44E7" w14:paraId="0874B577" w14:textId="77777777">
      <w:pPr>
        <w:snapToGrid w:val="0"/>
        <w:ind w:firstLine="480"/>
        <w:rPr>
          <w:rFonts w:ascii="宋体" w:hAnsi="宋体" w:cs="宋体"/>
          <w:sz w:val="24"/>
          <w:lang w:eastAsia="zh-CN"/>
        </w:rPr>
      </w:pPr>
      <w:r>
        <w:rPr>
          <w:rFonts w:ascii="宋体" w:hAnsi="宋体" w:cs="宋体" w:hint="eastAsia"/>
          <w:sz w:val="24"/>
          <w:highlight w:val="white"/>
          <w:lang w:eastAsia="zh-CN"/>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决定，仲裁费用由败诉方承担。</w:t>
      </w:r>
    </w:p>
    <w:p w:rsidR="00BC44E7" w14:paraId="006250C1" w14:textId="77777777">
      <w:pPr>
        <w:snapToGrid w:val="0"/>
        <w:ind w:firstLine="480"/>
        <w:rPr>
          <w:rFonts w:ascii="宋体" w:hAnsi="宋体" w:cs="宋体"/>
          <w:sz w:val="24"/>
          <w:lang w:eastAsia="zh-CN"/>
        </w:rPr>
      </w:pPr>
      <w:r>
        <w:rPr>
          <w:rFonts w:ascii="宋体" w:hAnsi="宋体" w:cs="宋体" w:hint="eastAsia"/>
          <w:sz w:val="24"/>
          <w:highlight w:val="white"/>
          <w:lang w:eastAsia="zh-CN"/>
        </w:rPr>
        <w:t>争议处理期间，双方当事人应恪守基金管理人和基金托管人职责，各自继续忠实、勤勉、尽责地履行《基金合同》和本托管协议规定的义务，维护基金份额持有人的合法权益。</w:t>
      </w:r>
    </w:p>
    <w:p w:rsidR="00BC44E7" w14:paraId="56C0AA45" w14:textId="77777777">
      <w:pPr>
        <w:snapToGrid w:val="0"/>
        <w:ind w:firstLine="480"/>
        <w:rPr>
          <w:rFonts w:ascii="宋体" w:hAnsi="宋体" w:cs="宋体"/>
          <w:sz w:val="24"/>
          <w:lang w:eastAsia="zh-CN"/>
        </w:rPr>
      </w:pPr>
      <w:r>
        <w:rPr>
          <w:rFonts w:ascii="宋体" w:hAnsi="宋体" w:cs="宋体" w:hint="eastAsia"/>
          <w:sz w:val="24"/>
          <w:highlight w:val="white"/>
          <w:lang w:eastAsia="zh-CN"/>
        </w:rPr>
        <w:t>本协议受中国法律管辖。</w:t>
      </w:r>
    </w:p>
    <w:p w:rsidR="00BC44E7" w14:paraId="3850EEB6" w14:textId="77777777">
      <w:pPr>
        <w:snapToGrid w:val="0"/>
        <w:rPr>
          <w:rFonts w:ascii="宋体" w:hAnsi="宋体" w:cs="宋体"/>
          <w:sz w:val="24"/>
          <w:lang w:eastAsia="zh-CN"/>
        </w:rPr>
      </w:pPr>
    </w:p>
    <w:p w:rsidR="00BC44E7" w14:paraId="13E29596" w14:textId="77777777">
      <w:pPr>
        <w:pStyle w:val="21"/>
        <w:jc w:val="center"/>
        <w:rPr>
          <w:rFonts w:ascii="宋体" w:eastAsia="宋体" w:hAnsi="宋体" w:cs="宋体"/>
          <w:sz w:val="30"/>
          <w:lang w:eastAsia="zh-CN"/>
        </w:rPr>
      </w:pPr>
      <w:bookmarkStart w:id="97" w:name="_Toc68875921"/>
      <w:r>
        <w:rPr>
          <w:rFonts w:ascii="宋体" w:eastAsia="宋体" w:hAnsi="宋体" w:cs="宋体" w:hint="eastAsia"/>
          <w:sz w:val="30"/>
          <w:highlight w:val="white"/>
          <w:lang w:eastAsia="zh-CN"/>
        </w:rPr>
        <w:t>十九、托管协议的效力</w:t>
      </w:r>
      <w:bookmarkEnd w:id="97"/>
    </w:p>
    <w:p w:rsidR="00BC44E7" w14:paraId="76914A52" w14:textId="77777777">
      <w:pPr>
        <w:snapToGrid w:val="0"/>
        <w:ind w:firstLine="480"/>
        <w:rPr>
          <w:rFonts w:ascii="宋体" w:hAnsi="宋体" w:cs="宋体"/>
          <w:sz w:val="24"/>
          <w:lang w:eastAsia="zh-CN"/>
        </w:rPr>
      </w:pPr>
      <w:r>
        <w:rPr>
          <w:rFonts w:ascii="宋体" w:hAnsi="宋体" w:cs="宋体" w:hint="eastAsia"/>
          <w:sz w:val="24"/>
          <w:highlight w:val="white"/>
          <w:lang w:eastAsia="zh-CN"/>
        </w:rPr>
        <w:t>双方对托管协议的效力约定如下：</w:t>
      </w:r>
    </w:p>
    <w:p w:rsidR="00BC44E7" w14:paraId="3EDD19C9" w14:textId="77777777">
      <w:pPr>
        <w:snapToGrid w:val="0"/>
        <w:ind w:firstLine="480"/>
        <w:rPr>
          <w:rFonts w:ascii="宋体" w:hAnsi="宋体" w:cs="宋体"/>
          <w:sz w:val="24"/>
          <w:lang w:eastAsia="zh-CN"/>
        </w:rPr>
      </w:pPr>
      <w:r>
        <w:rPr>
          <w:rFonts w:ascii="宋体" w:hAnsi="宋体" w:cs="宋体" w:hint="eastAsia"/>
          <w:sz w:val="24"/>
          <w:highlight w:val="white"/>
          <w:lang w:eastAsia="zh-CN"/>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BC44E7" w14:paraId="4333005F" w14:textId="77777777">
      <w:pPr>
        <w:snapToGrid w:val="0"/>
        <w:ind w:firstLine="480"/>
        <w:rPr>
          <w:rFonts w:ascii="宋体" w:hAnsi="宋体" w:cs="宋体"/>
          <w:sz w:val="24"/>
          <w:lang w:eastAsia="zh-CN"/>
        </w:rPr>
      </w:pPr>
      <w:r>
        <w:rPr>
          <w:rFonts w:ascii="宋体" w:hAnsi="宋体" w:cs="宋体" w:hint="eastAsia"/>
          <w:sz w:val="24"/>
          <w:highlight w:val="white"/>
          <w:lang w:eastAsia="zh-CN"/>
        </w:rPr>
        <w:t>（二）托管协议自《基金合同》成立之日起成立，自《基金合同》生效之日起生效。托管协议的有效期自其生效之日起至基金财产清算结果报中国证监会备案并公告之日止。</w:t>
      </w:r>
    </w:p>
    <w:p w:rsidR="00BC44E7" w14:paraId="16A219E0" w14:textId="77777777">
      <w:pPr>
        <w:snapToGrid w:val="0"/>
        <w:ind w:firstLine="480"/>
        <w:rPr>
          <w:rFonts w:ascii="宋体" w:hAnsi="宋体" w:cs="宋体"/>
          <w:sz w:val="24"/>
          <w:lang w:eastAsia="zh-CN"/>
        </w:rPr>
      </w:pPr>
      <w:r>
        <w:rPr>
          <w:rFonts w:ascii="宋体" w:hAnsi="宋体" w:cs="宋体" w:hint="eastAsia"/>
          <w:sz w:val="24"/>
          <w:highlight w:val="white"/>
          <w:lang w:eastAsia="zh-CN"/>
        </w:rPr>
        <w:t>（三）托管协议自生效之日起对托管协议当事人具有同等的法律约束力。</w:t>
      </w:r>
    </w:p>
    <w:p w:rsidR="00BC44E7" w14:paraId="63C76649" w14:textId="77777777">
      <w:pPr>
        <w:snapToGrid w:val="0"/>
        <w:ind w:firstLine="480"/>
        <w:rPr>
          <w:rFonts w:ascii="宋体" w:hAnsi="宋体" w:cs="宋体"/>
          <w:sz w:val="24"/>
          <w:lang w:eastAsia="zh-CN"/>
        </w:rPr>
      </w:pPr>
      <w:r>
        <w:rPr>
          <w:rFonts w:ascii="宋体" w:hAnsi="宋体" w:cs="宋体" w:hint="eastAsia"/>
          <w:sz w:val="24"/>
          <w:highlight w:val="white"/>
          <w:lang w:eastAsia="zh-CN"/>
        </w:rPr>
        <w:t>（四）本协议</w:t>
      </w:r>
      <w:r>
        <w:rPr>
          <w:rFonts w:ascii="宋体" w:hAnsi="宋体" w:cs="宋体"/>
          <w:sz w:val="24"/>
          <w:highlight w:val="white"/>
          <w:lang w:eastAsia="zh-CN"/>
        </w:rPr>
        <w:t>正本一式</w:t>
      </w:r>
      <w:r>
        <w:rPr>
          <w:rFonts w:ascii="宋体" w:hAnsi="宋体" w:cs="宋体" w:hint="eastAsia"/>
          <w:sz w:val="24"/>
          <w:highlight w:val="white"/>
          <w:lang w:eastAsia="zh-CN"/>
        </w:rPr>
        <w:t>六份，除</w:t>
      </w:r>
      <w:r>
        <w:rPr>
          <w:rFonts w:ascii="宋体" w:hAnsi="宋体" w:cs="宋体"/>
          <w:sz w:val="24"/>
          <w:highlight w:val="white"/>
          <w:lang w:eastAsia="zh-CN"/>
        </w:rPr>
        <w:t>上报有关监</w:t>
      </w:r>
      <w:r>
        <w:rPr>
          <w:rFonts w:ascii="宋体" w:hAnsi="宋体" w:cs="宋体" w:hint="eastAsia"/>
          <w:sz w:val="24"/>
          <w:highlight w:val="white"/>
          <w:lang w:eastAsia="zh-CN"/>
        </w:rPr>
        <w:t>管</w:t>
      </w:r>
      <w:r>
        <w:rPr>
          <w:rFonts w:ascii="宋体" w:hAnsi="宋体" w:cs="宋体"/>
          <w:sz w:val="24"/>
          <w:highlight w:val="white"/>
          <w:lang w:eastAsia="zh-CN"/>
        </w:rPr>
        <w:t>机构</w:t>
      </w:r>
      <w:r>
        <w:rPr>
          <w:rFonts w:ascii="宋体" w:hAnsi="宋体" w:cs="宋体" w:hint="eastAsia"/>
          <w:sz w:val="24"/>
          <w:highlight w:val="white"/>
          <w:lang w:eastAsia="zh-CN"/>
        </w:rPr>
        <w:t>二</w:t>
      </w:r>
      <w:r>
        <w:rPr>
          <w:rFonts w:ascii="宋体" w:hAnsi="宋体" w:cs="宋体"/>
          <w:sz w:val="24"/>
          <w:highlight w:val="white"/>
          <w:lang w:eastAsia="zh-CN"/>
        </w:rPr>
        <w:t>份外，基金管理人、基金托管人各持有</w:t>
      </w:r>
      <w:r>
        <w:rPr>
          <w:rFonts w:ascii="宋体" w:hAnsi="宋体" w:cs="宋体" w:hint="eastAsia"/>
          <w:sz w:val="24"/>
          <w:highlight w:val="white"/>
          <w:lang w:eastAsia="zh-CN"/>
        </w:rPr>
        <w:t>二</w:t>
      </w:r>
      <w:r>
        <w:rPr>
          <w:rFonts w:ascii="宋体" w:hAnsi="宋体" w:cs="宋体"/>
          <w:sz w:val="24"/>
          <w:highlight w:val="white"/>
          <w:lang w:eastAsia="zh-CN"/>
        </w:rPr>
        <w:t>份，每份具有同等的法律效力。</w:t>
      </w:r>
    </w:p>
    <w:p w:rsidR="00BC44E7" w14:paraId="73ABFC65" w14:textId="77777777">
      <w:pPr>
        <w:snapToGrid w:val="0"/>
        <w:rPr>
          <w:rFonts w:ascii="宋体" w:hAnsi="宋体" w:cs="宋体"/>
          <w:sz w:val="24"/>
          <w:lang w:eastAsia="zh-CN"/>
        </w:rPr>
      </w:pPr>
    </w:p>
    <w:p w:rsidR="00BC44E7" w14:paraId="27FEB4E4" w14:textId="77777777">
      <w:pPr>
        <w:pStyle w:val="21"/>
        <w:jc w:val="center"/>
        <w:rPr>
          <w:rFonts w:ascii="宋体" w:eastAsia="宋体" w:hAnsi="宋体" w:cs="宋体"/>
          <w:sz w:val="30"/>
          <w:lang w:eastAsia="zh-CN"/>
        </w:rPr>
      </w:pPr>
      <w:bookmarkStart w:id="98" w:name="_Toc68875922"/>
      <w:r>
        <w:rPr>
          <w:rFonts w:ascii="宋体" w:eastAsia="宋体" w:hAnsi="宋体" w:cs="宋体" w:hint="eastAsia"/>
          <w:sz w:val="30"/>
          <w:highlight w:val="white"/>
          <w:lang w:eastAsia="zh-CN"/>
        </w:rPr>
        <w:t>二十、其他事项</w:t>
      </w:r>
      <w:bookmarkEnd w:id="98"/>
    </w:p>
    <w:p w:rsidR="00BC44E7" w14:paraId="716E4E97" w14:textId="77777777">
      <w:pPr>
        <w:snapToGrid w:val="0"/>
        <w:ind w:firstLine="480"/>
        <w:rPr>
          <w:rFonts w:ascii="宋体" w:hAnsi="宋体" w:cs="宋体"/>
          <w:sz w:val="24"/>
          <w:lang w:eastAsia="zh-CN"/>
        </w:rPr>
      </w:pPr>
      <w:r>
        <w:rPr>
          <w:rFonts w:ascii="宋体" w:hAnsi="宋体" w:cs="宋体" w:hint="eastAsia"/>
          <w:sz w:val="24"/>
          <w:highlight w:val="white"/>
          <w:lang w:eastAsia="zh-CN"/>
        </w:rPr>
        <w:t>如发生有权司法机关依法冻结基金份额持有人的基金份额时，基金管理人应予以配合，承担司法协助义务。</w:t>
      </w:r>
    </w:p>
    <w:p w:rsidR="00BC44E7" w14:paraId="2FC9E6CD" w14:textId="77777777">
      <w:pPr>
        <w:snapToGrid w:val="0"/>
        <w:ind w:firstLine="480"/>
        <w:rPr>
          <w:rFonts w:ascii="宋体" w:hAnsi="宋体" w:cs="宋体"/>
          <w:sz w:val="24"/>
          <w:lang w:eastAsia="zh-CN"/>
        </w:rPr>
      </w:pPr>
      <w:r>
        <w:rPr>
          <w:rFonts w:ascii="宋体" w:hAnsi="宋体" w:cs="宋体" w:hint="eastAsia"/>
          <w:sz w:val="24"/>
          <w:highlight w:val="white"/>
          <w:lang w:eastAsia="zh-CN"/>
        </w:rPr>
        <w:t>除本协议有明确定义外，本协议的用语定义适用《基金合同》的约定。本协议未尽事宜，当事人依据《基金合同》、有关法律法规等规定协商办理。</w:t>
      </w:r>
    </w:p>
    <w:p w:rsidR="00BC44E7" w14:paraId="6FA80855" w14:textId="77777777">
      <w:pPr>
        <w:snapToGrid w:val="0"/>
        <w:rPr>
          <w:rFonts w:ascii="宋体" w:hAnsi="宋体" w:cs="宋体"/>
          <w:b/>
          <w:bCs/>
          <w:lang w:eastAsia="zh-CN"/>
        </w:rPr>
      </w:pPr>
    </w:p>
    <w:p w:rsidR="00BC44E7" w14:paraId="1C54981F" w14:textId="77777777">
      <w:pPr>
        <w:pStyle w:val="21"/>
        <w:jc w:val="center"/>
        <w:rPr>
          <w:rFonts w:ascii="宋体" w:eastAsia="宋体" w:hAnsi="宋体" w:cs="宋体"/>
          <w:sz w:val="30"/>
          <w:lang w:eastAsia="zh-CN"/>
        </w:rPr>
      </w:pPr>
      <w:bookmarkStart w:id="99" w:name="_Toc68875923"/>
      <w:r>
        <w:rPr>
          <w:rFonts w:ascii="宋体" w:eastAsia="宋体" w:hAnsi="宋体" w:cs="宋体" w:hint="eastAsia"/>
          <w:sz w:val="30"/>
          <w:highlight w:val="white"/>
          <w:lang w:eastAsia="zh-CN"/>
        </w:rPr>
        <w:t>二十一、托管协议的签订</w:t>
      </w:r>
      <w:bookmarkEnd w:id="99"/>
    </w:p>
    <w:p w:rsidR="00BC44E7" w14:paraId="745C9ED2" w14:textId="77777777">
      <w:pPr>
        <w:snapToGrid w:val="0"/>
        <w:ind w:firstLine="480"/>
        <w:rPr>
          <w:rFonts w:ascii="宋体" w:hAnsi="宋体" w:cs="宋体"/>
          <w:sz w:val="24"/>
          <w:lang w:eastAsia="zh-CN"/>
        </w:rPr>
      </w:pPr>
      <w:r>
        <w:rPr>
          <w:rFonts w:ascii="宋体" w:hAnsi="宋体" w:cs="宋体" w:hint="eastAsia"/>
          <w:sz w:val="24"/>
          <w:highlight w:val="white"/>
          <w:lang w:eastAsia="zh-CN"/>
        </w:rPr>
        <w:t>本协议双方法定代表人或授权代表签章、签订地、签订日</w:t>
      </w:r>
    </w:p>
    <w:p w:rsidR="00BC44E7" w14:paraId="2045DC05" w14:textId="77777777">
      <w:pPr>
        <w:widowControl/>
        <w:spacing w:beforeAutospacing="1" w:afterAutospacing="1"/>
        <w:jc w:val="left"/>
        <w:rPr>
          <w:rFonts w:ascii="宋体" w:hAnsi="宋体" w:cs="宋体"/>
          <w:sz w:val="24"/>
          <w:lang w:eastAsia="zh-CN"/>
        </w:rPr>
        <w:sectPr>
          <w:headerReference w:type="default" r:id="rId6"/>
          <w:pgSz w:w="11906" w:h="16838"/>
          <w:pgMar w:top="1418" w:right="1701" w:bottom="1418" w:left="1701" w:header="851" w:footer="992" w:gutter="0"/>
          <w:cols w:space="720"/>
          <w:docGrid w:type="lines" w:linePitch="312"/>
        </w:sectPr>
      </w:pPr>
    </w:p>
    <w:p w:rsidR="00BC44E7" w14:paraId="33167DDD" w14:textId="77777777">
      <w:pPr>
        <w:spacing w:line="360" w:lineRule="auto"/>
        <w:ind w:right="26"/>
        <w:rPr>
          <w:rFonts w:ascii="宋体" w:hAnsi="宋体" w:cs="宋体"/>
          <w:sz w:val="24"/>
          <w:lang w:eastAsia="zh-CN"/>
        </w:rPr>
      </w:pPr>
      <w:r>
        <w:rPr>
          <w:rFonts w:ascii="宋体" w:hAnsi="宋体" w:cs="宋体" w:hint="eastAsia"/>
          <w:sz w:val="24"/>
          <w:highlight w:val="white"/>
          <w:lang w:eastAsia="zh-CN"/>
        </w:rPr>
        <w:t>本页无正文，为《</w:t>
      </w:r>
      <w:r>
        <w:rPr>
          <w:rFonts w:ascii="宋体" w:hAnsi="宋体" w:cs="宋体" w:hint="eastAsia"/>
          <w:sz w:val="24"/>
          <w:lang w:eastAsia="zh-CN"/>
        </w:rPr>
        <w:t>易方达如意安裕3个月持有期混合型基金中基金（FOF）</w:t>
      </w:r>
      <w:r>
        <w:rPr>
          <w:rFonts w:ascii="宋体" w:hAnsi="宋体" w:cs="宋体" w:hint="eastAsia"/>
          <w:sz w:val="24"/>
          <w:highlight w:val="white"/>
          <w:lang w:eastAsia="zh-CN"/>
        </w:rPr>
        <w:t>托管协议》的签字盖章页。</w:t>
      </w:r>
    </w:p>
    <w:p w:rsidR="00BC44E7" w14:paraId="00E75D28" w14:textId="77777777">
      <w:pPr>
        <w:spacing w:line="360" w:lineRule="auto"/>
        <w:rPr>
          <w:rFonts w:ascii="宋体" w:hAnsi="宋体" w:cs="宋体"/>
          <w:sz w:val="24"/>
          <w:lang w:eastAsia="zh-CN"/>
        </w:rPr>
      </w:pPr>
    </w:p>
    <w:p w:rsidR="00BC7796" w14:paraId="66D44A9F" w14:textId="77777777">
      <w:pPr>
        <w:spacing w:line="360" w:lineRule="auto"/>
        <w:rPr>
          <w:rFonts w:ascii="宋体" w:hAnsi="宋体" w:cs="宋体"/>
          <w:sz w:val="24"/>
          <w:lang w:eastAsia="zh-CN"/>
        </w:rPr>
      </w:pPr>
    </w:p>
    <w:p w:rsidR="00BC7796" w14:paraId="45EA3BEE" w14:textId="77777777">
      <w:pPr>
        <w:spacing w:line="360" w:lineRule="auto"/>
        <w:rPr>
          <w:rFonts w:ascii="宋体" w:hAnsi="宋体" w:cs="宋体"/>
          <w:sz w:val="24"/>
          <w:lang w:eastAsia="zh-CN"/>
        </w:rPr>
      </w:pPr>
    </w:p>
    <w:p w:rsidR="00BC44E7" w14:paraId="46ED8127" w14:textId="77777777">
      <w:pPr>
        <w:spacing w:line="360" w:lineRule="auto"/>
        <w:ind w:right="26"/>
        <w:rPr>
          <w:rFonts w:ascii="宋体" w:hAnsi="宋体" w:cs="宋体"/>
          <w:sz w:val="24"/>
          <w:lang w:eastAsia="zh-CN"/>
        </w:rPr>
      </w:pPr>
      <w:r>
        <w:rPr>
          <w:rFonts w:ascii="宋体" w:hAnsi="宋体" w:cs="宋体" w:hint="eastAsia"/>
          <w:sz w:val="24"/>
          <w:highlight w:val="white"/>
          <w:lang w:eastAsia="zh-CN"/>
        </w:rPr>
        <w:t>《托管协议》当事人盖章及法定代表人或授权代表签</w:t>
      </w:r>
      <w:r>
        <w:rPr>
          <w:rFonts w:ascii="宋体" w:hAnsi="宋体" w:cs="宋体"/>
          <w:sz w:val="24"/>
          <w:highlight w:val="white"/>
          <w:lang w:eastAsia="zh-CN"/>
        </w:rPr>
        <w:t>字/签章、签订地、签订日</w:t>
      </w:r>
    </w:p>
    <w:p w:rsidR="00BC44E7" w14:paraId="208082CC" w14:textId="77777777">
      <w:pPr>
        <w:spacing w:line="360" w:lineRule="auto"/>
        <w:ind w:right="26"/>
        <w:rPr>
          <w:rFonts w:ascii="宋体" w:hAnsi="宋体" w:cs="宋体"/>
          <w:sz w:val="24"/>
          <w:lang w:eastAsia="zh-CN"/>
        </w:rPr>
      </w:pPr>
    </w:p>
    <w:p w:rsidR="00BC7796" w14:paraId="793F9DFC" w14:textId="77777777">
      <w:pPr>
        <w:spacing w:line="360" w:lineRule="auto"/>
        <w:ind w:right="26"/>
        <w:rPr>
          <w:rFonts w:ascii="宋体" w:hAnsi="宋体" w:cs="宋体"/>
          <w:sz w:val="24"/>
          <w:lang w:eastAsia="zh-CN"/>
        </w:rPr>
      </w:pPr>
    </w:p>
    <w:p w:rsidR="00BC7796" w14:paraId="27457D02" w14:textId="77777777">
      <w:pPr>
        <w:spacing w:line="360" w:lineRule="auto"/>
        <w:ind w:right="26"/>
        <w:rPr>
          <w:rFonts w:ascii="宋体" w:hAnsi="宋体" w:cs="宋体"/>
          <w:sz w:val="24"/>
          <w:lang w:eastAsia="zh-CN"/>
        </w:rPr>
      </w:pPr>
    </w:p>
    <w:p w:rsidR="00BC7796" w14:paraId="189CD6CB" w14:textId="77777777">
      <w:pPr>
        <w:spacing w:line="360" w:lineRule="auto"/>
        <w:ind w:right="26"/>
        <w:rPr>
          <w:rFonts w:ascii="宋体" w:hAnsi="宋体" w:cs="宋体"/>
          <w:sz w:val="24"/>
          <w:lang w:eastAsia="zh-CN"/>
        </w:rPr>
      </w:pPr>
    </w:p>
    <w:p w:rsidR="00BC44E7" w14:paraId="7D2691F0" w14:textId="77777777">
      <w:pPr>
        <w:spacing w:line="360" w:lineRule="auto"/>
        <w:ind w:right="26"/>
        <w:rPr>
          <w:rFonts w:ascii="宋体" w:hAnsi="宋体" w:cs="宋体"/>
          <w:sz w:val="24"/>
          <w:lang w:eastAsia="zh-CN"/>
        </w:rPr>
      </w:pPr>
      <w:r>
        <w:rPr>
          <w:rFonts w:ascii="宋体" w:hAnsi="宋体" w:cs="宋体" w:hint="eastAsia"/>
          <w:sz w:val="24"/>
          <w:highlight w:val="white"/>
          <w:lang w:eastAsia="zh-CN"/>
        </w:rPr>
        <w:t>基金管理人：易方达基金管理有限公司（章）</w:t>
      </w:r>
    </w:p>
    <w:p w:rsidR="00BC44E7" w14:paraId="4BB9AF7B" w14:textId="77777777">
      <w:pPr>
        <w:spacing w:line="360" w:lineRule="auto"/>
        <w:ind w:right="26"/>
        <w:rPr>
          <w:rFonts w:ascii="宋体" w:hAnsi="宋体" w:cs="宋体"/>
          <w:sz w:val="24"/>
          <w:lang w:eastAsia="zh-CN"/>
        </w:rPr>
      </w:pPr>
    </w:p>
    <w:p w:rsidR="00BC7796" w14:paraId="53E8E22B" w14:textId="77777777">
      <w:pPr>
        <w:spacing w:line="360" w:lineRule="auto"/>
        <w:ind w:right="26"/>
        <w:rPr>
          <w:rFonts w:ascii="宋体" w:hAnsi="宋体" w:cs="宋体"/>
          <w:sz w:val="24"/>
          <w:lang w:eastAsia="zh-CN"/>
        </w:rPr>
      </w:pPr>
    </w:p>
    <w:p w:rsidR="00BC7796" w14:paraId="28395CD8" w14:textId="77777777">
      <w:pPr>
        <w:spacing w:line="360" w:lineRule="auto"/>
        <w:ind w:right="26"/>
        <w:rPr>
          <w:rFonts w:ascii="宋体" w:hAnsi="宋体" w:cs="宋体"/>
          <w:sz w:val="24"/>
          <w:lang w:eastAsia="zh-CN"/>
        </w:rPr>
      </w:pPr>
    </w:p>
    <w:p w:rsidR="00BC7796" w14:paraId="238A5F97" w14:textId="77777777">
      <w:pPr>
        <w:spacing w:line="360" w:lineRule="auto"/>
        <w:ind w:right="26"/>
        <w:rPr>
          <w:rFonts w:ascii="宋体" w:hAnsi="宋体" w:cs="宋体"/>
          <w:sz w:val="24"/>
          <w:lang w:eastAsia="zh-CN"/>
        </w:rPr>
      </w:pPr>
    </w:p>
    <w:p w:rsidR="00BC7796" w14:paraId="0E81DE9A" w14:textId="77777777">
      <w:pPr>
        <w:spacing w:line="360" w:lineRule="auto"/>
        <w:ind w:right="26"/>
        <w:rPr>
          <w:rFonts w:ascii="宋体" w:hAnsi="宋体" w:cs="宋体"/>
          <w:sz w:val="24"/>
          <w:lang w:eastAsia="zh-CN"/>
        </w:rPr>
      </w:pPr>
    </w:p>
    <w:p w:rsidR="00BC7796" w14:paraId="3BABA069" w14:textId="77777777">
      <w:pPr>
        <w:spacing w:line="360" w:lineRule="auto"/>
        <w:ind w:right="26"/>
        <w:rPr>
          <w:rFonts w:ascii="宋体" w:hAnsi="宋体" w:cs="宋体"/>
          <w:sz w:val="24"/>
          <w:lang w:eastAsia="zh-CN"/>
        </w:rPr>
      </w:pPr>
    </w:p>
    <w:p w:rsidR="00BC44E7" w14:paraId="2D8DCEF0" w14:textId="77777777">
      <w:pPr>
        <w:spacing w:line="360" w:lineRule="auto"/>
        <w:ind w:right="26"/>
        <w:rPr>
          <w:rFonts w:ascii="宋体" w:hAnsi="宋体" w:cs="宋体"/>
          <w:sz w:val="24"/>
          <w:lang w:eastAsia="zh-CN"/>
        </w:rPr>
      </w:pPr>
      <w:r>
        <w:rPr>
          <w:rFonts w:ascii="宋体" w:hAnsi="宋体" w:cs="宋体" w:hint="eastAsia"/>
          <w:sz w:val="24"/>
          <w:highlight w:val="white"/>
          <w:lang w:eastAsia="zh-CN"/>
        </w:rPr>
        <w:t>法定代表人或授权代表（签字/签章）：</w:t>
      </w:r>
    </w:p>
    <w:p w:rsidR="00BC44E7" w14:paraId="34488B14" w14:textId="77777777">
      <w:pPr>
        <w:spacing w:line="360" w:lineRule="auto"/>
        <w:ind w:right="26"/>
        <w:rPr>
          <w:rFonts w:ascii="宋体" w:hAnsi="宋体" w:cs="宋体"/>
          <w:sz w:val="24"/>
          <w:lang w:eastAsia="zh-CN"/>
        </w:rPr>
      </w:pPr>
    </w:p>
    <w:p w:rsidR="00BC44E7" w14:paraId="5E0C5974" w14:textId="77777777">
      <w:pPr>
        <w:spacing w:line="360" w:lineRule="auto"/>
        <w:ind w:right="26"/>
        <w:rPr>
          <w:rFonts w:ascii="宋体" w:hAnsi="宋体" w:cs="宋体"/>
          <w:sz w:val="24"/>
          <w:lang w:eastAsia="zh-CN"/>
        </w:rPr>
      </w:pPr>
    </w:p>
    <w:p w:rsidR="00BC44E7" w14:paraId="1AD09328" w14:textId="77777777">
      <w:pPr>
        <w:spacing w:line="360" w:lineRule="auto"/>
        <w:ind w:right="26"/>
        <w:rPr>
          <w:rFonts w:ascii="宋体" w:hAnsi="宋体" w:cs="宋体"/>
          <w:sz w:val="24"/>
          <w:lang w:eastAsia="zh-CN"/>
        </w:rPr>
      </w:pPr>
    </w:p>
    <w:p w:rsidR="00BC7796" w14:paraId="2FD97F02" w14:textId="77777777">
      <w:pPr>
        <w:spacing w:line="360" w:lineRule="auto"/>
        <w:ind w:right="26"/>
        <w:rPr>
          <w:rFonts w:ascii="宋体" w:hAnsi="宋体" w:cs="宋体"/>
          <w:sz w:val="24"/>
          <w:lang w:eastAsia="zh-CN"/>
        </w:rPr>
      </w:pPr>
    </w:p>
    <w:p w:rsidR="00BC44E7" w14:paraId="4EAA1B1B" w14:textId="77777777">
      <w:pPr>
        <w:spacing w:line="360" w:lineRule="auto"/>
        <w:ind w:right="26"/>
        <w:rPr>
          <w:rFonts w:ascii="宋体" w:hAnsi="宋体" w:cs="宋体"/>
          <w:sz w:val="24"/>
          <w:lang w:eastAsia="zh-CN"/>
        </w:rPr>
      </w:pPr>
      <w:r>
        <w:rPr>
          <w:rFonts w:ascii="宋体" w:hAnsi="宋体" w:cs="宋体" w:hint="eastAsia"/>
          <w:sz w:val="24"/>
          <w:highlight w:val="white"/>
          <w:lang w:eastAsia="zh-CN"/>
        </w:rPr>
        <w:t>基金托管人：中国建设银行股份有限公司（章）</w:t>
      </w:r>
    </w:p>
    <w:p w:rsidR="00BC44E7" w14:paraId="6EDEAFC6" w14:textId="77777777">
      <w:pPr>
        <w:spacing w:line="360" w:lineRule="auto"/>
        <w:ind w:right="26"/>
        <w:rPr>
          <w:rFonts w:ascii="宋体" w:hAnsi="宋体" w:cs="宋体"/>
          <w:sz w:val="24"/>
          <w:lang w:eastAsia="zh-CN"/>
        </w:rPr>
      </w:pPr>
    </w:p>
    <w:p w:rsidR="00BC7796" w14:paraId="4235C319" w14:textId="77777777">
      <w:pPr>
        <w:spacing w:line="360" w:lineRule="auto"/>
        <w:ind w:right="26"/>
        <w:rPr>
          <w:rFonts w:ascii="宋体" w:hAnsi="宋体" w:cs="宋体"/>
          <w:sz w:val="24"/>
          <w:lang w:eastAsia="zh-CN"/>
        </w:rPr>
      </w:pPr>
    </w:p>
    <w:p w:rsidR="00BC44E7" w14:paraId="54080E64" w14:textId="77777777">
      <w:pPr>
        <w:spacing w:line="360" w:lineRule="auto"/>
        <w:ind w:right="26"/>
        <w:rPr>
          <w:rFonts w:ascii="宋体" w:hAnsi="宋体" w:cs="宋体"/>
          <w:sz w:val="24"/>
          <w:lang w:eastAsia="zh-CN"/>
        </w:rPr>
      </w:pPr>
    </w:p>
    <w:p w:rsidR="00BC44E7" w14:paraId="541CF59B" w14:textId="77777777">
      <w:pPr>
        <w:spacing w:line="360" w:lineRule="auto"/>
        <w:ind w:right="26"/>
        <w:rPr>
          <w:rFonts w:ascii="宋体" w:hAnsi="宋体" w:cs="宋体"/>
          <w:sz w:val="24"/>
          <w:lang w:eastAsia="zh-CN"/>
        </w:rPr>
      </w:pPr>
      <w:r>
        <w:rPr>
          <w:rFonts w:ascii="宋体" w:hAnsi="宋体" w:cs="宋体" w:hint="eastAsia"/>
          <w:sz w:val="24"/>
          <w:highlight w:val="white"/>
          <w:lang w:eastAsia="zh-CN"/>
        </w:rPr>
        <w:t>法定代表人或授权代表（签字/签章）：</w:t>
      </w:r>
    </w:p>
    <w:p w:rsidR="00BC44E7" w14:paraId="76072EFF" w14:textId="77777777">
      <w:pPr>
        <w:spacing w:line="360" w:lineRule="auto"/>
        <w:ind w:right="26"/>
        <w:rPr>
          <w:rFonts w:ascii="宋体" w:hAnsi="宋体" w:cs="宋体"/>
          <w:sz w:val="24"/>
          <w:lang w:eastAsia="zh-CN"/>
        </w:rPr>
      </w:pPr>
      <w:r>
        <w:rPr>
          <w:rFonts w:ascii="宋体" w:hAnsi="宋体" w:cs="宋体" w:hint="eastAsia"/>
          <w:sz w:val="24"/>
          <w:highlight w:val="white"/>
          <w:lang w:eastAsia="zh-CN"/>
        </w:rPr>
        <w:t>签订地点：</w:t>
      </w:r>
    </w:p>
    <w:p w:rsidR="00BC44E7" w14:paraId="0CA2D7DD" w14:textId="77777777">
      <w:pPr>
        <w:spacing w:line="360" w:lineRule="auto"/>
        <w:ind w:right="26"/>
        <w:rPr>
          <w:rFonts w:ascii="宋体" w:hAnsi="宋体" w:cs="宋体"/>
          <w:sz w:val="24"/>
          <w:lang w:eastAsia="zh-CN"/>
        </w:rPr>
      </w:pPr>
      <w:r>
        <w:rPr>
          <w:rFonts w:ascii="宋体" w:hAnsi="宋体" w:cs="宋体" w:hint="eastAsia"/>
          <w:sz w:val="24"/>
          <w:highlight w:val="white"/>
          <w:lang w:eastAsia="zh-CN"/>
        </w:rPr>
        <w:t xml:space="preserve">签订日：   </w:t>
      </w:r>
      <w:r>
        <w:rPr>
          <w:rFonts w:ascii="宋体" w:hAnsi="宋体" w:cs="宋体"/>
          <w:sz w:val="24"/>
          <w:highlight w:val="white"/>
          <w:lang w:eastAsia="zh-CN"/>
        </w:rPr>
        <w:t xml:space="preserve"> </w:t>
      </w:r>
      <w:r>
        <w:rPr>
          <w:rFonts w:ascii="宋体" w:hAnsi="宋体" w:cs="宋体" w:hint="eastAsia"/>
          <w:sz w:val="24"/>
          <w:highlight w:val="white"/>
          <w:lang w:eastAsia="zh-CN"/>
        </w:rPr>
        <w:t>年</w:t>
      </w:r>
      <w:r>
        <w:rPr>
          <w:rFonts w:ascii="宋体" w:hAnsi="宋体" w:cs="宋体"/>
          <w:sz w:val="24"/>
          <w:highlight w:val="white"/>
          <w:lang w:eastAsia="zh-CN"/>
        </w:rPr>
        <w:t xml:space="preserve"> </w:t>
      </w:r>
      <w:r>
        <w:rPr>
          <w:rFonts w:ascii="宋体" w:hAnsi="宋体" w:cs="宋体" w:hint="eastAsia"/>
          <w:sz w:val="24"/>
          <w:highlight w:val="white"/>
          <w:lang w:eastAsia="zh-CN"/>
        </w:rPr>
        <w:t xml:space="preserve">  月</w:t>
      </w:r>
      <w:r>
        <w:rPr>
          <w:rFonts w:ascii="宋体" w:hAnsi="宋体" w:cs="宋体"/>
          <w:sz w:val="24"/>
          <w:highlight w:val="white"/>
          <w:lang w:eastAsia="zh-CN"/>
        </w:rPr>
        <w:t xml:space="preserve"> </w:t>
      </w:r>
      <w:r>
        <w:rPr>
          <w:rFonts w:ascii="宋体" w:hAnsi="宋体" w:cs="宋体" w:hint="eastAsia"/>
          <w:sz w:val="24"/>
          <w:highlight w:val="white"/>
          <w:lang w:eastAsia="zh-CN"/>
        </w:rPr>
        <w:t xml:space="preserve">  日</w:t>
      </w:r>
    </w:p>
    <w:bookmarkEnd w:id="0"/>
    <w:p w:rsidR="00BC44E7" w14:paraId="5E3FEA10" w14:textId="77777777">
      <w:pPr>
        <w:spacing w:line="360" w:lineRule="auto"/>
        <w:rPr>
          <w:rFonts w:ascii="宋体" w:hAnsi="宋体" w:cs="宋体"/>
          <w:lang w:eastAsia="zh-CN"/>
        </w:rPr>
      </w:pPr>
    </w:p>
    <w:sectPr>
      <w:headerReference w:type="default" r:id="rId7"/>
      <w:footerReference w:type="default" r:id="rId8"/>
      <w:pgSz w:w="11906" w:h="16838"/>
      <w:pgMar w:top="1418" w:right="1701" w:bottom="1418"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宋体"/>
    <w:panose1 w:val="00000000000000000000"/>
    <w:charset w:val="86"/>
    <w:family w:val="roman"/>
    <w:notTrueType/>
    <w:pitch w:val="default"/>
  </w:font>
  <w:font w:name="方正仿宋简体">
    <w:altName w:val="宋体"/>
    <w:panose1 w:val="00000000000000000000"/>
    <w:charset w:val="86"/>
    <w:family w:val="roman"/>
    <w:notTrueType/>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68161314"/>
      <w:placeholder>
        <w:docPart w:val="9a1149f66b8240a793fee1d912384d1a"/>
      </w:placeholder>
      <w:richText/>
    </w:sdtPr>
    <w:sdtContent>
      <w:p w:rsidR="00400A91" w14:paraId="5FD109C7" w14:textId="6B6CB1A6">
        <w:pPr>
          <w:pStyle w:val="1"/>
          <w:snapToGrid/>
          <w:jc w:val="center"/>
        </w:pPr>
        <w:r>
          <w:fldChar w:fldCharType="begin"/>
        </w:r>
        <w:r>
          <w:rPr>
            <w:highlight w:val="white"/>
          </w:rPr>
          <w:instrText>PAGE   \* MERGEFORMAT</w:instrText>
        </w:r>
        <w:r>
          <w:fldChar w:fldCharType="separate"/>
        </w:r>
        <w:r w:rsidRPr="001D5FA0" w:rsidR="001D5FA0">
          <w:rPr>
            <w:noProof/>
            <w:highlight w:val="white"/>
            <w:lang w:val="zh-CN"/>
          </w:rPr>
          <w:t>30</w:t>
        </w:r>
        <w:r>
          <w:fldChar w:fldCharType="end"/>
        </w:r>
      </w:p>
    </w:sdtContent>
  </w:sdt>
  <w:p w:rsidR="00400A91" w14:paraId="7170FC98" w14:textId="77777777">
    <w:pPr>
      <w:pStyle w:val="1"/>
      <w:snapToGr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0A91" w14:paraId="7877E390" w14:textId="77777777">
    <w:pPr>
      <w:pStyle w:val="1"/>
      <w:snapToGrid/>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0A91" w14:paraId="43FB43E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0A91" w14:paraId="7834FACD" w14:textId="77777777"/>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姚栋梁">
    <w15:presenceInfo w15:providerId="None" w15:userId="姚栋梁"/>
  </w15:person>
  <w15:person w15:author="二次反馈">
    <w15:presenceInfo w15:providerId="None" w15:userId="二次反馈"/>
  </w15:person>
  <w15:person w15:author="廖生暖">
    <w15:presenceInfo w15:providerId="None" w15:userId="廖生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defaultTabStop w:val="4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81"/>
    <w:rsid w:val="D5CF7A79"/>
    <w:rsid w:val="F79FFF2C"/>
    <w:rsid w:val="00040D4C"/>
    <w:rsid w:val="000B14F4"/>
    <w:rsid w:val="00171AF1"/>
    <w:rsid w:val="00191F5A"/>
    <w:rsid w:val="001D5FA0"/>
    <w:rsid w:val="001F719D"/>
    <w:rsid w:val="00211F0E"/>
    <w:rsid w:val="00244726"/>
    <w:rsid w:val="002B65C4"/>
    <w:rsid w:val="002C7403"/>
    <w:rsid w:val="002E3E26"/>
    <w:rsid w:val="002E7371"/>
    <w:rsid w:val="00317DAF"/>
    <w:rsid w:val="00400A91"/>
    <w:rsid w:val="0048294B"/>
    <w:rsid w:val="00501F56"/>
    <w:rsid w:val="00623BF7"/>
    <w:rsid w:val="006548AC"/>
    <w:rsid w:val="00771464"/>
    <w:rsid w:val="00772975"/>
    <w:rsid w:val="007815E7"/>
    <w:rsid w:val="00781A3B"/>
    <w:rsid w:val="00901FB3"/>
    <w:rsid w:val="00961F69"/>
    <w:rsid w:val="00A0713C"/>
    <w:rsid w:val="00A74314"/>
    <w:rsid w:val="00AF4E82"/>
    <w:rsid w:val="00BC44E7"/>
    <w:rsid w:val="00BC7796"/>
    <w:rsid w:val="00BF5F43"/>
    <w:rsid w:val="00C67B98"/>
    <w:rsid w:val="00DD7B81"/>
    <w:rsid w:val="00DF523D"/>
    <w:rsid w:val="00E1638A"/>
    <w:rsid w:val="00E312AC"/>
    <w:rsid w:val="00E34349"/>
    <w:rsid w:val="2ECF8E9E"/>
    <w:rsid w:val="79EB9E0B"/>
    <w:rsid w:val="7F7FFAA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591EB2EC-2124-47E9-9AFC-9BEB6FA6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uiPriority="39"/>
    <w:lsdException w:name="toc 3" w:semiHidden="1" w:uiPriority="0"/>
    <w:lsdException w:name="toc 4" w:semiHidden="1" w:uiPriority="0"/>
    <w:lsdException w:name="toc 5" w:semiHidden="1" w:uiPriority="0"/>
    <w:lsdException w:name="toc 6" w:semiHidden="1" w:uiPriority="0" w:qFormat="1"/>
    <w:lsdException w:name="toc 7" w:semiHidden="1" w:uiPriority="0"/>
    <w:lsdException w:name="toc 8" w:semiHidden="1" w:uiPriority="0"/>
    <w:lsdException w:name="toc 9" w:semiHidden="1" w:uiPriority="0"/>
    <w:lsdException w:name="Normal Indent" w:uiPriority="0" w:qFormat="1"/>
    <w:lsdException w:name="footnote text" w:semiHidden="1" w:unhideWhenUsed="1" w:qFormat="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hd w:val="clear" w:color="FFFFFF" w:fill="FFFFFF"/>
      <w:jc w:val="both"/>
    </w:pPr>
    <w:rPr>
      <w:rFonts w:ascii="Times New Roman" w:hAnsi="Times New Roman" w:cs="Times New Roman"/>
      <w:sz w:val="21"/>
      <w:szCs w:val="24"/>
      <w:lang w:eastAsia="en-US"/>
    </w:rPr>
  </w:style>
  <w:style w:type="paragraph" w:styleId="Heading1">
    <w:name w:val="heading 1"/>
    <w:basedOn w:val="Normal"/>
    <w:next w:val="Normal"/>
    <w:link w:val="1Char"/>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Char1"/>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Char"/>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Char"/>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ascii="Arial" w:hAnsi="Arial" w:cs="Arial"/>
      <w:b/>
      <w:bCs/>
      <w:sz w:val="24"/>
    </w:rPr>
  </w:style>
  <w:style w:type="paragraph" w:styleId="Heading6">
    <w:name w:val="heading 6"/>
    <w:basedOn w:val="Normal"/>
    <w:next w:val="Normal"/>
    <w:link w:val="6Char"/>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Char"/>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Char"/>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Char"/>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semiHidden/>
    <w:pPr>
      <w:ind w:left="2520"/>
    </w:pPr>
  </w:style>
  <w:style w:type="paragraph" w:styleId="NormalIndent">
    <w:name w:val="Normal Indent"/>
    <w:basedOn w:val="Normal"/>
    <w:qFormat/>
    <w:pPr>
      <w:ind w:firstLine="420"/>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CommentText">
    <w:name w:val="annotation text"/>
    <w:basedOn w:val="Normal"/>
    <w:link w:val="Char12"/>
    <w:qFormat/>
    <w:pPr>
      <w:shd w:val="clear" w:color="auto" w:fill="FFFFFF"/>
      <w:jc w:val="left"/>
    </w:pPr>
    <w:rPr>
      <w:lang w:eastAsia="zh-CN"/>
    </w:rPr>
  </w:style>
  <w:style w:type="paragraph" w:styleId="BodyText">
    <w:name w:val="Body Text"/>
    <w:basedOn w:val="Normal"/>
    <w:link w:val="Char6"/>
    <w:qFormat/>
    <w:pPr>
      <w:spacing w:line="360" w:lineRule="auto"/>
    </w:pPr>
    <w:rPr>
      <w:rFonts w:ascii="仿宋_GB2312" w:eastAsia="仿宋_GB2312"/>
      <w:color w:val="000000"/>
      <w:sz w:val="24"/>
      <w:szCs w:val="28"/>
    </w:rPr>
  </w:style>
  <w:style w:type="paragraph" w:styleId="BodyTextIndent">
    <w:name w:val="Body Text Indent"/>
    <w:basedOn w:val="Normal"/>
    <w:link w:val="Char7"/>
    <w:qFormat/>
    <w:pPr>
      <w:snapToGrid w:val="0"/>
      <w:spacing w:line="560" w:lineRule="exact"/>
      <w:ind w:firstLine="480"/>
    </w:pPr>
    <w:rPr>
      <w:rFonts w:eastAsia="方正仿宋简体"/>
      <w:sz w:val="24"/>
      <w:szCs w:val="30"/>
    </w:rPr>
  </w:style>
  <w:style w:type="paragraph" w:styleId="TOC5">
    <w:name w:val="toc 5"/>
    <w:basedOn w:val="Normal"/>
    <w:next w:val="Normal"/>
    <w:semiHidden/>
    <w:pPr>
      <w:ind w:left="1680"/>
    </w:pPr>
  </w:style>
  <w:style w:type="paragraph" w:styleId="TOC3">
    <w:name w:val="toc 3"/>
    <w:basedOn w:val="Normal"/>
    <w:next w:val="Normal"/>
    <w:semiHidden/>
    <w:pPr>
      <w:ind w:left="840"/>
    </w:pPr>
  </w:style>
  <w:style w:type="paragraph" w:styleId="TOC8">
    <w:name w:val="toc 8"/>
    <w:basedOn w:val="Normal"/>
    <w:next w:val="Normal"/>
    <w:semiHidden/>
    <w:pPr>
      <w:ind w:left="2940"/>
    </w:pPr>
  </w:style>
  <w:style w:type="paragraph" w:styleId="BodyTextIndent2">
    <w:name w:val="Body Text Indent 2"/>
    <w:basedOn w:val="Normal"/>
    <w:link w:val="2Char0"/>
    <w:pPr>
      <w:spacing w:line="360" w:lineRule="auto"/>
      <w:ind w:firstLine="525"/>
    </w:pPr>
    <w:rPr>
      <w:rFonts w:ascii="宋体" w:hAnsi="宋体"/>
      <w:sz w:val="28"/>
      <w:szCs w:val="20"/>
    </w:rPr>
  </w:style>
  <w:style w:type="paragraph" w:styleId="EndnoteText">
    <w:name w:val="endnote text"/>
    <w:basedOn w:val="Normal"/>
    <w:link w:val="Char"/>
    <w:uiPriority w:val="99"/>
    <w:semiHidden/>
    <w:unhideWhenUsed/>
    <w:rPr>
      <w:sz w:val="20"/>
    </w:rPr>
  </w:style>
  <w:style w:type="paragraph" w:styleId="BalloonText">
    <w:name w:val="Balloon Text"/>
    <w:basedOn w:val="Normal"/>
    <w:link w:val="Char8"/>
    <w:semiHidden/>
    <w:rPr>
      <w:sz w:val="18"/>
      <w:szCs w:val="18"/>
    </w:rPr>
  </w:style>
  <w:style w:type="paragraph" w:styleId="Footer">
    <w:name w:val="footer"/>
    <w:basedOn w:val="Normal"/>
    <w:link w:val="Char11"/>
    <w:uiPriority w:val="99"/>
    <w:unhideWhenUsed/>
    <w:pPr>
      <w:tabs>
        <w:tab w:val="center" w:pos="4153"/>
        <w:tab w:val="right" w:pos="8306"/>
      </w:tabs>
      <w:snapToGrid w:val="0"/>
      <w:jc w:val="left"/>
    </w:pPr>
    <w:rPr>
      <w:sz w:val="18"/>
      <w:szCs w:val="18"/>
    </w:rPr>
  </w:style>
  <w:style w:type="paragraph" w:styleId="Header">
    <w:name w:val="header"/>
    <w:basedOn w:val="Normal"/>
    <w:link w:val="Char10"/>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semiHidden/>
  </w:style>
  <w:style w:type="paragraph" w:styleId="TOC4">
    <w:name w:val="toc 4"/>
    <w:basedOn w:val="Normal"/>
    <w:next w:val="Normal"/>
    <w:semiHidden/>
    <w:pPr>
      <w:ind w:left="1260"/>
    </w:pPr>
  </w:style>
  <w:style w:type="paragraph" w:styleId="Subtitle">
    <w:name w:val="Subtitle"/>
    <w:basedOn w:val="Normal"/>
    <w:next w:val="Normal"/>
    <w:link w:val="Char1"/>
    <w:uiPriority w:val="11"/>
    <w:qFormat/>
    <w:pPr>
      <w:spacing w:before="200" w:after="200"/>
    </w:pPr>
    <w:rPr>
      <w:sz w:val="24"/>
    </w:rPr>
  </w:style>
  <w:style w:type="paragraph" w:styleId="FootnoteText">
    <w:name w:val="footnote text"/>
    <w:basedOn w:val="Normal"/>
    <w:link w:val="Char4"/>
    <w:uiPriority w:val="99"/>
    <w:semiHidden/>
    <w:unhideWhenUsed/>
    <w:qFormat/>
    <w:pPr>
      <w:spacing w:after="40"/>
    </w:pPr>
    <w:rPr>
      <w:sz w:val="18"/>
    </w:rPr>
  </w:style>
  <w:style w:type="paragraph" w:styleId="TOC6">
    <w:name w:val="toc 6"/>
    <w:basedOn w:val="Normal"/>
    <w:next w:val="Normal"/>
    <w:semiHidden/>
    <w:qFormat/>
    <w:pPr>
      <w:ind w:left="2100"/>
    </w:pPr>
  </w:style>
  <w:style w:type="paragraph" w:styleId="BodyTextIndent3">
    <w:name w:val="Body Text Indent 3"/>
    <w:basedOn w:val="Normal"/>
    <w:link w:val="3Char0"/>
    <w:pPr>
      <w:snapToGrid w:val="0"/>
      <w:ind w:firstLine="480"/>
    </w:pPr>
    <w:rPr>
      <w:rFonts w:ascii="仿宋_GB2312" w:eastAsia="仿宋_GB2312" w:hAnsi="宋体" w:cs="Arial"/>
      <w:color w:val="000000"/>
      <w:sz w:val="24"/>
    </w:rPr>
  </w:style>
  <w:style w:type="paragraph" w:styleId="TableofFigures">
    <w:name w:val="table of figures"/>
    <w:basedOn w:val="Normal"/>
    <w:next w:val="Normal"/>
    <w:uiPriority w:val="99"/>
    <w:unhideWhenUsed/>
  </w:style>
  <w:style w:type="paragraph" w:styleId="TOC2">
    <w:name w:val="toc 2"/>
    <w:basedOn w:val="Normal"/>
    <w:next w:val="Normal"/>
    <w:uiPriority w:val="39"/>
    <w:pPr>
      <w:tabs>
        <w:tab w:val="right" w:leader="dot" w:pos="8494"/>
      </w:tabs>
      <w:ind w:left="420"/>
    </w:pPr>
  </w:style>
  <w:style w:type="paragraph" w:styleId="TOC9">
    <w:name w:val="toc 9"/>
    <w:basedOn w:val="Normal"/>
    <w:next w:val="Normal"/>
    <w:semiHidden/>
    <w:pPr>
      <w:ind w:left="3360"/>
    </w:pPr>
  </w:style>
  <w:style w:type="paragraph" w:styleId="HTMLPreformatted">
    <w:name w:val="HTML Preformatted"/>
    <w:basedOn w:val="Normal"/>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NormalWeb">
    <w:name w:val="Normal (Web)"/>
    <w:basedOn w:val="Normal"/>
    <w:uiPriority w:val="99"/>
    <w:qFormat/>
    <w:pPr>
      <w:widowControl/>
      <w:spacing w:before="100" w:beforeAutospacing="1" w:after="100" w:afterAutospacing="1"/>
      <w:jc w:val="left"/>
    </w:pPr>
    <w:rPr>
      <w:rFonts w:ascii="Arial Unicode MS" w:hAnsi="Arial Unicode MS" w:cs="Arial Unicode MS"/>
      <w:sz w:val="24"/>
    </w:rPr>
  </w:style>
  <w:style w:type="paragraph" w:styleId="Title">
    <w:name w:val="Title"/>
    <w:basedOn w:val="Normal"/>
    <w:next w:val="Normal"/>
    <w:link w:val="Char0"/>
    <w:uiPriority w:val="10"/>
    <w:qFormat/>
    <w:pPr>
      <w:spacing w:before="300" w:after="200"/>
      <w:contextualSpacing/>
    </w:pPr>
    <w:rPr>
      <w:sz w:val="48"/>
      <w:szCs w:val="48"/>
    </w:rPr>
  </w:style>
  <w:style w:type="paragraph" w:styleId="CommentSubject">
    <w:name w:val="annotation subject"/>
    <w:basedOn w:val="CommentText"/>
    <w:next w:val="CommentText"/>
    <w:link w:val="Char9"/>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Strong">
    <w:name w:val="Strong"/>
    <w:qFormat/>
    <w:rPr>
      <w:b/>
      <w:bCs/>
    </w:rPr>
  </w:style>
  <w:style w:type="character" w:styleId="EndnoteReference">
    <w:name w:val="endnote reference"/>
    <w:basedOn w:val="DefaultParagraphFont"/>
    <w:uiPriority w:val="99"/>
    <w:semiHidden/>
    <w:unhideWhenUsed/>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uiPriority w:val="99"/>
    <w:unhideWhenUsed/>
    <w:qFormat/>
    <w:rPr>
      <w:vertAlign w:val="superscript"/>
    </w:rPr>
  </w:style>
  <w:style w:type="paragraph" w:customStyle="1" w:styleId="21">
    <w:name w:val="标题 21"/>
    <w:basedOn w:val="Normal"/>
    <w:next w:val="NormalIndent"/>
    <w:link w:val="2Char"/>
    <w:qFormat/>
    <w:pPr>
      <w:keepNext/>
      <w:keepLines/>
      <w:spacing w:before="260" w:after="260" w:line="416" w:lineRule="auto"/>
      <w:outlineLvl w:val="1"/>
    </w:pPr>
    <w:rPr>
      <w:rFonts w:ascii="Arial" w:eastAsia="黑体" w:hAnsi="Arial"/>
      <w:b/>
      <w:sz w:val="32"/>
      <w:szCs w:val="20"/>
    </w:rPr>
  </w:style>
  <w:style w:type="character" w:customStyle="1" w:styleId="Char">
    <w:name w:val="尾注文本 Char"/>
    <w:link w:val="EndnoteText"/>
    <w:uiPriority w:val="99"/>
    <w:rPr>
      <w:sz w:val="20"/>
    </w:rPr>
  </w:style>
  <w:style w:type="paragraph" w:customStyle="1" w:styleId="1">
    <w:name w:val="页脚1"/>
    <w:basedOn w:val="Normal"/>
    <w:link w:val="Char5"/>
    <w:uiPriority w:val="99"/>
    <w:unhideWhenUsed/>
    <w:qFormat/>
    <w:pPr>
      <w:tabs>
        <w:tab w:val="center" w:pos="4153"/>
        <w:tab w:val="right" w:pos="8306"/>
      </w:tabs>
      <w:snapToGrid w:val="0"/>
      <w:jc w:val="left"/>
    </w:pPr>
    <w:rPr>
      <w:sz w:val="18"/>
      <w:szCs w:val="18"/>
    </w:rPr>
  </w:style>
  <w:style w:type="character" w:customStyle="1" w:styleId="3Char">
    <w:name w:val="标题 3 Char"/>
    <w:basedOn w:val="DefaultParagraphFont"/>
    <w:link w:val="Heading3"/>
    <w:uiPriority w:val="9"/>
    <w:qFormat/>
    <w:rPr>
      <w:rFonts w:ascii="Arial" w:hAnsi="Arial" w:cs="Arial"/>
      <w:sz w:val="30"/>
      <w:szCs w:val="3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qFormat/>
    <w:rPr>
      <w:rFonts w:ascii="Arial" w:hAnsi="Arial" w:cs="Arial"/>
      <w:b/>
      <w:bCs/>
      <w:sz w:val="24"/>
      <w:szCs w:val="24"/>
    </w:rPr>
  </w:style>
  <w:style w:type="character" w:customStyle="1" w:styleId="6Char">
    <w:name w:val="标题 6 Char"/>
    <w:basedOn w:val="DefaultParagraphFont"/>
    <w:link w:val="Heading6"/>
    <w:uiPriority w:val="9"/>
    <w:qFormat/>
    <w:rPr>
      <w:rFonts w:ascii="Arial" w:hAnsi="Arial" w:cs="Arial"/>
      <w:b/>
      <w:bCs/>
      <w:sz w:val="22"/>
      <w:szCs w:val="22"/>
    </w:rPr>
  </w:style>
  <w:style w:type="character" w:customStyle="1" w:styleId="7Char">
    <w:name w:val="标题 7 Char"/>
    <w:basedOn w:val="DefaultParagraphFont"/>
    <w:link w:val="Heading7"/>
    <w:uiPriority w:val="9"/>
    <w:qFormat/>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qFormat/>
    <w:rPr>
      <w:rFonts w:ascii="Arial" w:hAnsi="Arial" w:cs="Arial"/>
      <w:i/>
      <w:iCs/>
      <w:sz w:val="21"/>
      <w:szCs w:val="21"/>
    </w:rPr>
  </w:style>
  <w:style w:type="character" w:customStyle="1" w:styleId="1Char">
    <w:name w:val="标题 1 Char"/>
    <w:basedOn w:val="DefaultParagraphFont"/>
    <w:link w:val="Heading1"/>
    <w:uiPriority w:val="9"/>
    <w:qFormat/>
    <w:rPr>
      <w:rFonts w:ascii="Arial" w:hAnsi="Arial" w:cs="Arial"/>
      <w:sz w:val="40"/>
      <w:szCs w:val="40"/>
    </w:rPr>
  </w:style>
  <w:style w:type="character" w:customStyle="1" w:styleId="2Char1">
    <w:name w:val="标题 2 Char1"/>
    <w:basedOn w:val="DefaultParagraphFont"/>
    <w:link w:val="Heading2"/>
    <w:uiPriority w:val="9"/>
    <w:qFormat/>
    <w:rPr>
      <w:rFonts w:ascii="Arial" w:hAnsi="Arial" w:cs="Arial"/>
      <w:sz w:val="34"/>
    </w:rPr>
  </w:style>
  <w:style w:type="paragraph" w:styleId="ListParagraph">
    <w:name w:val="List Paragraph"/>
    <w:basedOn w:val="Normal"/>
    <w:uiPriority w:val="34"/>
    <w:qFormat/>
    <w:pPr>
      <w:ind w:left="720"/>
      <w:contextualSpacing/>
    </w:pPr>
  </w:style>
  <w:style w:type="paragraph" w:styleId="NoSpacing">
    <w:name w:val="No Spacing"/>
    <w:uiPriority w:val="1"/>
    <w:qFormat/>
    <w:pPr>
      <w:shd w:val="clear" w:color="FFFFFF" w:fill="FFFFFF"/>
    </w:pPr>
    <w:rPr>
      <w:sz w:val="21"/>
      <w:szCs w:val="22"/>
      <w:lang w:eastAsia="en-US"/>
    </w:rPr>
  </w:style>
  <w:style w:type="character" w:customStyle="1" w:styleId="Char0">
    <w:name w:val="标题 Char"/>
    <w:basedOn w:val="DefaultParagraphFont"/>
    <w:link w:val="Title"/>
    <w:uiPriority w:val="10"/>
    <w:qFormat/>
    <w:rPr>
      <w:sz w:val="48"/>
      <w:szCs w:val="48"/>
    </w:rPr>
  </w:style>
  <w:style w:type="character" w:customStyle="1" w:styleId="Char1">
    <w:name w:val="副标题 Char"/>
    <w:basedOn w:val="DefaultParagraphFont"/>
    <w:link w:val="Subtitle"/>
    <w:uiPriority w:val="11"/>
    <w:qFormat/>
    <w:rPr>
      <w:sz w:val="24"/>
      <w:szCs w:val="24"/>
    </w:rPr>
  </w:style>
  <w:style w:type="paragraph" w:styleId="Quote">
    <w:name w:val="Quote"/>
    <w:basedOn w:val="Normal"/>
    <w:next w:val="Normal"/>
    <w:link w:val="Char2"/>
    <w:uiPriority w:val="29"/>
    <w:qFormat/>
    <w:pPr>
      <w:ind w:left="720" w:right="720"/>
    </w:pPr>
    <w:rPr>
      <w:i/>
    </w:rPr>
  </w:style>
  <w:style w:type="character" w:customStyle="1" w:styleId="Char2">
    <w:name w:val="引用 Char"/>
    <w:link w:val="Quote"/>
    <w:uiPriority w:val="29"/>
    <w:qFormat/>
    <w:rPr>
      <w:i/>
    </w:rPr>
  </w:style>
  <w:style w:type="paragraph" w:styleId="IntenseQuote">
    <w:name w:val="Intense Quote"/>
    <w:basedOn w:val="Normal"/>
    <w:next w:val="Normal"/>
    <w:link w:val="Char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3">
    <w:name w:val="明显引用 Char"/>
    <w:link w:val="IntenseQuote"/>
    <w:uiPriority w:val="30"/>
    <w:qFormat/>
    <w:rPr>
      <w:i/>
    </w:rPr>
  </w:style>
  <w:style w:type="character" w:customStyle="1" w:styleId="Char4">
    <w:name w:val="脚注文本 Char"/>
    <w:link w:val="FootnoteText"/>
    <w:uiPriority w:val="99"/>
    <w:qFormat/>
    <w:rPr>
      <w:sz w:val="18"/>
    </w:rPr>
  </w:style>
  <w:style w:type="character" w:customStyle="1" w:styleId="2Char">
    <w:name w:val="标题 2 Char"/>
    <w:basedOn w:val="DefaultParagraphFont"/>
    <w:link w:val="21"/>
    <w:qFormat/>
    <w:rPr>
      <w:rFonts w:ascii="Arial" w:eastAsia="黑体" w:hAnsi="Arial" w:cs="Times New Roman"/>
      <w:b/>
      <w:sz w:val="32"/>
      <w:szCs w:val="20"/>
    </w:rPr>
  </w:style>
  <w:style w:type="character" w:customStyle="1" w:styleId="Char5">
    <w:name w:val="页脚 Char"/>
    <w:basedOn w:val="DefaultParagraphFont"/>
    <w:link w:val="1"/>
    <w:uiPriority w:val="99"/>
    <w:qFormat/>
    <w:rPr>
      <w:rFonts w:ascii="Times New Roman" w:eastAsia="宋体" w:hAnsi="Times New Roman" w:cs="Times New Roman"/>
      <w:sz w:val="18"/>
      <w:szCs w:val="18"/>
    </w:rPr>
  </w:style>
  <w:style w:type="character" w:customStyle="1" w:styleId="Char6">
    <w:name w:val="正文文本 Char"/>
    <w:basedOn w:val="DefaultParagraphFont"/>
    <w:link w:val="BodyText"/>
    <w:qFormat/>
    <w:rPr>
      <w:rFonts w:ascii="仿宋_GB2312" w:eastAsia="仿宋_GB2312" w:hAnsi="Times New Roman" w:cs="Times New Roman"/>
      <w:color w:val="000000"/>
      <w:sz w:val="24"/>
      <w:szCs w:val="28"/>
    </w:rPr>
  </w:style>
  <w:style w:type="character" w:customStyle="1" w:styleId="read">
    <w:name w:val="read"/>
    <w:basedOn w:val="DefaultParagraphFont"/>
    <w:qFormat/>
  </w:style>
  <w:style w:type="character" w:customStyle="1" w:styleId="Char7">
    <w:name w:val="正文文本缩进 Char"/>
    <w:basedOn w:val="DefaultParagraphFont"/>
    <w:link w:val="BodyTextIndent"/>
    <w:rPr>
      <w:rFonts w:ascii="Times New Roman" w:eastAsia="方正仿宋简体" w:hAnsi="Times New Roman" w:cs="Times New Roman"/>
      <w:sz w:val="24"/>
      <w:szCs w:val="30"/>
    </w:rPr>
  </w:style>
  <w:style w:type="character" w:customStyle="1" w:styleId="2Char0">
    <w:name w:val="正文文本缩进 2 Char"/>
    <w:basedOn w:val="DefaultParagraphFont"/>
    <w:link w:val="BodyTextIndent2"/>
    <w:qFormat/>
    <w:rPr>
      <w:rFonts w:ascii="宋体" w:eastAsia="宋体" w:hAnsi="宋体" w:cs="Times New Roman"/>
      <w:sz w:val="28"/>
      <w:szCs w:val="20"/>
    </w:rPr>
  </w:style>
  <w:style w:type="character" w:customStyle="1" w:styleId="3Char0">
    <w:name w:val="正文文本缩进 3 Char"/>
    <w:basedOn w:val="DefaultParagraphFont"/>
    <w:link w:val="BodyTextIndent3"/>
    <w:qFormat/>
    <w:rPr>
      <w:rFonts w:ascii="仿宋_GB2312" w:eastAsia="仿宋_GB2312" w:hAnsi="宋体" w:cs="Arial"/>
      <w:color w:val="000000"/>
      <w:sz w:val="24"/>
      <w:szCs w:val="24"/>
    </w:rPr>
  </w:style>
  <w:style w:type="character" w:customStyle="1" w:styleId="Char8">
    <w:name w:val="批注框文本 Char"/>
    <w:basedOn w:val="DefaultParagraphFont"/>
    <w:link w:val="BalloonText"/>
    <w:semiHidden/>
    <w:rPr>
      <w:rFonts w:ascii="Times New Roman" w:eastAsia="宋体" w:hAnsi="Times New Roman" w:cs="Times New Roman"/>
      <w:sz w:val="18"/>
      <w:szCs w:val="18"/>
    </w:rPr>
  </w:style>
  <w:style w:type="character" w:customStyle="1" w:styleId="a">
    <w:name w:val="批注文字 字符"/>
    <w:basedOn w:val="DefaultParagraphFont"/>
    <w:qFormat/>
    <w:rPr>
      <w:rFonts w:ascii="Times New Roman" w:eastAsia="宋体" w:hAnsi="Times New Roman" w:cs="Times New Roman"/>
      <w:sz w:val="24"/>
      <w:szCs w:val="24"/>
    </w:rPr>
  </w:style>
  <w:style w:type="character" w:customStyle="1" w:styleId="HTMLChar">
    <w:name w:val="HTML 预设格式 Char"/>
    <w:basedOn w:val="DefaultParagraphFont"/>
    <w:link w:val="HTMLPreformatted"/>
    <w:uiPriority w:val="99"/>
    <w:rPr>
      <w:rFonts w:ascii="宋体" w:eastAsia="宋体" w:hAnsi="宋体" w:cs="宋体"/>
      <w:sz w:val="24"/>
      <w:szCs w:val="24"/>
    </w:rPr>
  </w:style>
  <w:style w:type="character" w:customStyle="1" w:styleId="Char9">
    <w:name w:val="批注主题 Char"/>
    <w:basedOn w:val="a"/>
    <w:link w:val="CommentSubject"/>
    <w:qFormat/>
    <w:rPr>
      <w:rFonts w:ascii="Times New Roman" w:eastAsia="宋体" w:hAnsi="Times New Roman" w:cs="Times New Roman"/>
      <w:b/>
      <w:bCs/>
      <w:sz w:val="24"/>
      <w:szCs w:val="24"/>
    </w:rPr>
  </w:style>
  <w:style w:type="character" w:customStyle="1" w:styleId="Char10">
    <w:name w:val="页眉 Char"/>
    <w:basedOn w:val="DefaultParagraphFont"/>
    <w:link w:val="Header"/>
    <w:uiPriority w:val="99"/>
    <w:rPr>
      <w:rFonts w:ascii="Times New Roman" w:hAnsi="Times New Roman" w:cs="Times New Roman"/>
      <w:sz w:val="18"/>
      <w:szCs w:val="18"/>
      <w:shd w:val="clear" w:color="FFFFFF" w:fill="FFFFFF"/>
    </w:rPr>
  </w:style>
  <w:style w:type="character" w:customStyle="1" w:styleId="Char11">
    <w:name w:val="页脚 Char1"/>
    <w:basedOn w:val="DefaultParagraphFont"/>
    <w:link w:val="Footer"/>
    <w:uiPriority w:val="99"/>
    <w:rPr>
      <w:rFonts w:ascii="Times New Roman" w:hAnsi="Times New Roman" w:cs="Times New Roman"/>
      <w:sz w:val="18"/>
      <w:szCs w:val="18"/>
      <w:shd w:val="clear" w:color="FFFFFF" w:fill="FFFFFF"/>
    </w:rPr>
  </w:style>
  <w:style w:type="character" w:customStyle="1" w:styleId="Char12">
    <w:name w:val="批注文字 Char"/>
    <w:basedOn w:val="DefaultParagraphFont"/>
    <w:link w:val="CommentText"/>
    <w:rPr>
      <w:rFonts w:ascii="Times New Roman" w:eastAsia="宋体" w:hAnsi="Times New Roman" w:cs="Times New Roman" w:hint="default"/>
      <w:kern w:val="0"/>
      <w:szCs w:val="24"/>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a1149f66b8240a793fee1d912384d1a"/>
        <w:category>
          <w:name w:val="(Empty Category)"/>
          <w:gallery w:val="any"/>
        </w:category>
        <w:behaviors>
          <w:behavior w:val="content"/>
        </w:behaviors>
        <w:guid w:val="{7D628958-ADD9-4E26-813A-52F4EC5EAD55}"/>
      </w:docPartPr>
      <w:docPartBody>
        <w:p w:rsidR="00E1638A">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宋体"/>
    <w:panose1 w:val="00000000000000000000"/>
    <w:charset w:val="86"/>
    <w:family w:val="roman"/>
    <w:notTrueType/>
    <w:pitch w:val="default"/>
  </w:font>
  <w:font w:name="方正仿宋简体">
    <w:altName w:val="宋体"/>
    <w:panose1 w:val="00000000000000000000"/>
    <w:charset w:val="86"/>
    <w:family w:val="roman"/>
    <w:notTrueType/>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comments="1" w:formatting="1" w:inkAnnotations="0" w:insDel="1" w:markup="1"/>
  <w:defaultTabStop w:val="420"/>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975"/>
    <w:rsid w:val="00160C58"/>
    <w:rsid w:val="002945F3"/>
    <w:rsid w:val="002F1EB7"/>
    <w:rsid w:val="00505826"/>
    <w:rsid w:val="006E4123"/>
    <w:rsid w:val="00732960"/>
    <w:rsid w:val="00772975"/>
    <w:rsid w:val="00844869"/>
    <w:rsid w:val="0096011B"/>
    <w:rsid w:val="00BA7945"/>
    <w:rsid w:val="00D43364"/>
    <w:rsid w:val="00DB3252"/>
    <w:rsid w:val="00E1638A"/>
    <w:rsid w:val="00ED60F3"/>
    <w:rsid w:val="00F25E17"/>
    <w:rsid w:val="00F935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basedOn w:val="Normal"/>
    <w:next w:val="Normal"/>
    <w:link w:val="1Char"/>
    <w:uiPriority w:val="9"/>
    <w:qFormat/>
    <w:pPr>
      <w:keepNext/>
      <w:keepLines/>
      <w:spacing w:before="480" w:after="200"/>
      <w:outlineLvl w:val="0"/>
    </w:pPr>
    <w:rPr>
      <w:sz w:val="40"/>
      <w:szCs w:val="40"/>
    </w:rPr>
  </w:style>
  <w:style w:type="paragraph" w:styleId="Heading2">
    <w:name w:val="heading 2"/>
    <w:basedOn w:val="Normal"/>
    <w:next w:val="Normal"/>
    <w:link w:val="2Char"/>
    <w:uiPriority w:val="9"/>
    <w:unhideWhenUsed/>
    <w:qFormat/>
    <w:pPr>
      <w:keepNext/>
      <w:keepLines/>
      <w:spacing w:before="360" w:after="200"/>
      <w:outlineLvl w:val="1"/>
    </w:pPr>
    <w:rPr>
      <w:sz w:val="34"/>
    </w:rPr>
  </w:style>
  <w:style w:type="paragraph" w:styleId="Heading3">
    <w:name w:val="heading 3"/>
    <w:basedOn w:val="Normal"/>
    <w:next w:val="Normal"/>
    <w:link w:val="3Char"/>
    <w:uiPriority w:val="9"/>
    <w:unhideWhenUsed/>
    <w:qFormat/>
    <w:pPr>
      <w:keepNext/>
      <w:keepLines/>
      <w:spacing w:before="320" w:after="200"/>
      <w:outlineLvl w:val="2"/>
    </w:pPr>
    <w:rPr>
      <w:sz w:val="30"/>
      <w:szCs w:val="30"/>
    </w:rPr>
  </w:style>
  <w:style w:type="paragraph" w:styleId="Heading4">
    <w:name w:val="heading 4"/>
    <w:basedOn w:val="Normal"/>
    <w:next w:val="Normal"/>
    <w:link w:val="4Char"/>
    <w:uiPriority w:val="9"/>
    <w:unhideWhenUsed/>
    <w:qFormat/>
    <w:pPr>
      <w:keepNext/>
      <w:keepLines/>
      <w:spacing w:before="320" w:after="200"/>
      <w:outlineLvl w:val="3"/>
    </w:pPr>
    <w:rPr>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b/>
      <w:bCs/>
    </w:rPr>
  </w:style>
  <w:style w:type="paragraph" w:styleId="Heading7">
    <w:name w:val="heading 7"/>
    <w:basedOn w:val="Normal"/>
    <w:next w:val="Normal"/>
    <w:link w:val="7Char"/>
    <w:uiPriority w:val="9"/>
    <w:unhideWhenUsed/>
    <w:qFormat/>
    <w:pPr>
      <w:keepNext/>
      <w:keepLines/>
      <w:spacing w:before="320" w:after="200"/>
      <w:outlineLvl w:val="6"/>
    </w:pPr>
    <w:rPr>
      <w:b/>
      <w:bCs/>
      <w:i/>
      <w:iCs/>
    </w:rPr>
  </w:style>
  <w:style w:type="paragraph" w:styleId="Heading8">
    <w:name w:val="heading 8"/>
    <w:basedOn w:val="Normal"/>
    <w:next w:val="Normal"/>
    <w:link w:val="8Char"/>
    <w:uiPriority w:val="9"/>
    <w:unhideWhenUsed/>
    <w:qFormat/>
    <w:pPr>
      <w:keepNext/>
      <w:keepLines/>
      <w:spacing w:before="320" w:after="200"/>
      <w:outlineLvl w:val="7"/>
    </w:pPr>
    <w:rPr>
      <w:i/>
      <w:iCs/>
    </w:rPr>
  </w:style>
  <w:style w:type="paragraph" w:styleId="Heading9">
    <w:name w:val="heading 9"/>
    <w:basedOn w:val="Normal"/>
    <w:next w:val="Normal"/>
    <w:link w:val="9Char"/>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qFormat/>
    <w:rPr>
      <w:rFonts w:ascii="Arial" w:hAnsi="Arial" w:cs="Arial"/>
      <w:sz w:val="40"/>
      <w:szCs w:val="40"/>
    </w:rPr>
  </w:style>
  <w:style w:type="character" w:customStyle="1" w:styleId="2Char">
    <w:name w:val="标题 2 Char"/>
    <w:basedOn w:val="DefaultParagraphFont"/>
    <w:link w:val="Heading2"/>
    <w:uiPriority w:val="9"/>
    <w:rPr>
      <w:rFonts w:ascii="Arial" w:hAnsi="Arial" w:cs="Arial"/>
      <w:sz w:val="34"/>
    </w:rPr>
  </w:style>
  <w:style w:type="character" w:customStyle="1" w:styleId="3Char">
    <w:name w:val="标题 3 Char"/>
    <w:basedOn w:val="DefaultParagraphFont"/>
    <w:link w:val="Heading3"/>
    <w:uiPriority w:val="9"/>
    <w:rPr>
      <w:rFonts w:ascii="Arial" w:hAnsi="Arial" w:cs="Arial"/>
      <w:sz w:val="30"/>
      <w:szCs w:val="3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rPr>
      <w:rFonts w:ascii="Arial" w:hAnsi="Arial" w:cs="Arial"/>
      <w:b/>
      <w:bCs/>
      <w:sz w:val="24"/>
      <w:szCs w:val="24"/>
    </w:rPr>
  </w:style>
  <w:style w:type="character" w:customStyle="1" w:styleId="6Char">
    <w:name w:val="标题 6 Char"/>
    <w:basedOn w:val="DefaultParagraphFont"/>
    <w:link w:val="Heading6"/>
    <w:uiPriority w:val="9"/>
    <w:rPr>
      <w:rFonts w:ascii="Arial" w:hAnsi="Arial" w:cs="Arial"/>
      <w:b/>
      <w:bCs/>
      <w:sz w:val="22"/>
      <w:szCs w:val="22"/>
    </w:rPr>
  </w:style>
  <w:style w:type="character" w:customStyle="1" w:styleId="7Char">
    <w:name w:val="标题 7 Char"/>
    <w:basedOn w:val="DefaultParagraphFont"/>
    <w:link w:val="Heading7"/>
    <w:uiPriority w:val="9"/>
    <w:rPr>
      <w:rFonts w:ascii="Arial" w:hAnsi="Arial" w:cs="Arial"/>
      <w:b/>
      <w:bCs/>
      <w:i/>
      <w:iCs/>
      <w:sz w:val="22"/>
      <w:szCs w:val="22"/>
    </w:rPr>
  </w:style>
  <w:style w:type="character" w:customStyle="1" w:styleId="8Char">
    <w:name w:val="标题 8 Char"/>
    <w:basedOn w:val="DefaultParagraphFont"/>
    <w:link w:val="Heading8"/>
    <w:uiPriority w:val="9"/>
    <w:rPr>
      <w:rFonts w:ascii="Arial" w:hAnsi="Arial" w:cs="Arial"/>
      <w:i/>
      <w:iCs/>
      <w:sz w:val="22"/>
      <w:szCs w:val="22"/>
    </w:rPr>
  </w:style>
  <w:style w:type="character" w:customStyle="1" w:styleId="9Char">
    <w:name w:val="标题 9 Char"/>
    <w:basedOn w:val="DefaultParagraphFont"/>
    <w:link w:val="Heading9"/>
    <w:uiPriority w:val="9"/>
    <w:qFormat/>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eastAsia="en-US"/>
    </w:rPr>
  </w:style>
  <w:style w:type="paragraph" w:styleId="Title">
    <w:name w:val="Title"/>
    <w:basedOn w:val="Normal"/>
    <w:next w:val="Normal"/>
    <w:link w:val="Char"/>
    <w:uiPriority w:val="10"/>
    <w:qFormat/>
    <w:pPr>
      <w:spacing w:before="300" w:after="200"/>
      <w:contextualSpacing/>
    </w:pPr>
    <w:rPr>
      <w:sz w:val="48"/>
      <w:szCs w:val="48"/>
    </w:rPr>
  </w:style>
  <w:style w:type="character" w:customStyle="1" w:styleId="Char">
    <w:name w:val="标题 Char"/>
    <w:basedOn w:val="DefaultParagraphFont"/>
    <w:link w:val="Title"/>
    <w:uiPriority w:val="10"/>
    <w:rPr>
      <w:sz w:val="48"/>
      <w:szCs w:val="48"/>
    </w:rPr>
  </w:style>
  <w:style w:type="paragraph" w:styleId="Subtitle">
    <w:name w:val="Subtitle"/>
    <w:basedOn w:val="Normal"/>
    <w:next w:val="Normal"/>
    <w:link w:val="Char0"/>
    <w:uiPriority w:val="11"/>
    <w:qFormat/>
    <w:pPr>
      <w:spacing w:before="200" w:after="200"/>
    </w:pPr>
    <w:rPr>
      <w:sz w:val="24"/>
      <w:szCs w:val="24"/>
    </w:rPr>
  </w:style>
  <w:style w:type="character" w:customStyle="1" w:styleId="Char0">
    <w:name w:val="副标题 Char"/>
    <w:basedOn w:val="DefaultParagraphFont"/>
    <w:link w:val="Subtitle"/>
    <w:uiPriority w:val="11"/>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qFormat/>
    <w:rPr>
      <w:i/>
    </w:rPr>
  </w:style>
  <w:style w:type="paragraph" w:styleId="Header">
    <w:name w:val="header"/>
    <w:basedOn w:val="Normal"/>
    <w:link w:val="Char3"/>
    <w:uiPriority w:val="99"/>
    <w:unhideWhenUsed/>
    <w:qFormat/>
    <w:pPr>
      <w:tabs>
        <w:tab w:val="center" w:pos="7143"/>
        <w:tab w:val="right" w:pos="14287"/>
      </w:tabs>
    </w:pPr>
  </w:style>
  <w:style w:type="character" w:customStyle="1" w:styleId="Char3">
    <w:name w:val="页眉 Char"/>
    <w:basedOn w:val="DefaultParagraphFont"/>
    <w:link w:val="Header"/>
    <w:uiPriority w:val="99"/>
  </w:style>
  <w:style w:type="paragraph" w:styleId="Footer">
    <w:name w:val="footer"/>
    <w:basedOn w:val="Normal"/>
    <w:link w:val="Char4"/>
    <w:uiPriority w:val="99"/>
    <w:unhideWhenUsed/>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har4">
    <w:name w:val="页脚 Char"/>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Char5"/>
    <w:uiPriority w:val="99"/>
    <w:semiHidden/>
    <w:unhideWhenUsed/>
    <w:pPr>
      <w:spacing w:after="40"/>
    </w:pPr>
    <w:rPr>
      <w:sz w:val="18"/>
    </w:rPr>
  </w:style>
  <w:style w:type="character" w:customStyle="1" w:styleId="Char5">
    <w:name w:val="脚注文本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Char6"/>
    <w:uiPriority w:val="99"/>
    <w:semiHidden/>
    <w:unhideWhenUsed/>
    <w:qFormat/>
    <w:rPr>
      <w:sz w:val="20"/>
    </w:rPr>
  </w:style>
  <w:style w:type="character" w:customStyle="1" w:styleId="Char6">
    <w:name w:val="尾注文本 Char"/>
    <w:link w:val="EndnoteText"/>
    <w:uiPriority w:val="99"/>
    <w:qFormat/>
    <w:rPr>
      <w:sz w:val="20"/>
    </w:rPr>
  </w:style>
  <w:style w:type="character" w:styleId="EndnoteReference">
    <w:name w:val="endnote reference"/>
    <w:basedOn w:val="DefaultParagraphFont"/>
    <w:uiPriority w:val="99"/>
    <w:semiHidden/>
    <w:unhideWhenUsed/>
    <w:qFormat/>
    <w:rPr>
      <w:vertAlign w:val="superscript"/>
    </w:rPr>
  </w:style>
  <w:style w:type="paragraph" w:styleId="TOC1">
    <w:name w:val="toc 1"/>
    <w:basedOn w:val="Normal"/>
    <w:next w:val="Normal"/>
    <w:uiPriority w:val="39"/>
    <w:unhideWhenUsed/>
    <w:qFormat/>
    <w:pPr>
      <w:spacing w:after="57"/>
    </w:pPr>
  </w:style>
  <w:style w:type="paragraph" w:styleId="TOC2">
    <w:name w:val="toc 2"/>
    <w:basedOn w:val="Normal"/>
    <w:next w:val="Normal"/>
    <w:uiPriority w:val="39"/>
    <w:unhideWhenUsed/>
    <w:qFormat/>
    <w:pPr>
      <w:spacing w:after="57"/>
      <w:ind w:left="283"/>
    </w:pPr>
  </w:style>
  <w:style w:type="paragraph" w:styleId="TOC3">
    <w:name w:val="toc 3"/>
    <w:basedOn w:val="Normal"/>
    <w:next w:val="Normal"/>
    <w:uiPriority w:val="39"/>
    <w:unhideWhenUsed/>
    <w:qFormat/>
    <w:pPr>
      <w:spacing w:after="57"/>
      <w:ind w:left="567"/>
    </w:pPr>
  </w:style>
  <w:style w:type="paragraph" w:styleId="TOC4">
    <w:name w:val="toc 4"/>
    <w:basedOn w:val="Normal"/>
    <w:next w:val="Normal"/>
    <w:uiPriority w:val="39"/>
    <w:unhideWhenUsed/>
    <w:qFormat/>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31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